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012764" w14:textId="209C2733" w:rsidR="006A5583" w:rsidRPr="00FD1BEF" w:rsidRDefault="004176F5" w:rsidP="006A5583">
      <w:pPr>
        <w:suppressAutoHyphens/>
        <w:jc w:val="center"/>
        <w:rPr>
          <w:rFonts w:ascii="HelveticaNeueLT Pro 55 Roman" w:hAnsi="HelveticaNeueLT Pro 55 Roman"/>
          <w:b/>
          <w:sz w:val="36"/>
          <w:szCs w:val="36"/>
        </w:rPr>
      </w:pPr>
      <w:r w:rsidRPr="00FD1BEF">
        <w:rPr>
          <w:rFonts w:ascii="HelveticaNeueLT Pro 55 Roman" w:hAnsi="HelveticaNeueLT Pro 55 Roman"/>
          <w:b/>
          <w:sz w:val="36"/>
          <w:szCs w:val="36"/>
        </w:rPr>
        <w:t>Appendix 9</w:t>
      </w:r>
      <w:r w:rsidR="006A5583" w:rsidRPr="00FD1BEF">
        <w:rPr>
          <w:rFonts w:ascii="HelveticaNeueLT Pro 55 Roman" w:hAnsi="HelveticaNeueLT Pro 55 Roman"/>
          <w:b/>
          <w:sz w:val="36"/>
          <w:szCs w:val="36"/>
        </w:rPr>
        <w:t>.</w:t>
      </w:r>
    </w:p>
    <w:p w14:paraId="409982FE" w14:textId="77777777" w:rsidR="006A5583" w:rsidRDefault="006A5583" w:rsidP="006A5583">
      <w:pPr>
        <w:suppressAutoHyphens/>
        <w:rPr>
          <w:rFonts w:ascii="HelveticaNeueLT Pro 55 Roman" w:hAnsi="HelveticaNeueLT Pro 55 Roman"/>
          <w:b/>
          <w:sz w:val="24"/>
          <w:szCs w:val="24"/>
        </w:rPr>
      </w:pPr>
    </w:p>
    <w:p w14:paraId="4BE57A6F" w14:textId="37B8A277" w:rsidR="006A5583" w:rsidRPr="00BB3657" w:rsidRDefault="00F24B98" w:rsidP="00BB3657">
      <w:pPr>
        <w:suppressAutoHyphens/>
        <w:jc w:val="center"/>
        <w:rPr>
          <w:rFonts w:ascii="HelveticaNeueLT Pro 55 Roman" w:hAnsi="HelveticaNeueLT Pro 55 Roman"/>
          <w:b/>
          <w:sz w:val="26"/>
          <w:szCs w:val="26"/>
        </w:rPr>
      </w:pPr>
      <w:r w:rsidRPr="006A5583">
        <w:rPr>
          <w:rFonts w:ascii="HelveticaNeueLT Pro 55 Roman" w:hAnsi="HelveticaNeueLT Pro 55 Roman"/>
          <w:b/>
          <w:sz w:val="26"/>
          <w:szCs w:val="26"/>
        </w:rPr>
        <w:t xml:space="preserve">Impacts of study design, validity, selection of </w:t>
      </w:r>
      <w:r w:rsidR="006A5583">
        <w:rPr>
          <w:rFonts w:ascii="HelveticaNeueLT Pro 55 Roman" w:hAnsi="HelveticaNeueLT Pro 55 Roman"/>
          <w:b/>
          <w:sz w:val="26"/>
          <w:szCs w:val="26"/>
        </w:rPr>
        <w:t>data</w:t>
      </w:r>
      <w:r w:rsidRPr="006A5583">
        <w:rPr>
          <w:rFonts w:ascii="HelveticaNeueLT Pro 55 Roman" w:hAnsi="HelveticaNeueLT Pro 55 Roman"/>
          <w:b/>
          <w:sz w:val="26"/>
          <w:szCs w:val="26"/>
        </w:rPr>
        <w:t xml:space="preserve"> and publication bias</w:t>
      </w:r>
      <w:r w:rsidR="006D49DA">
        <w:rPr>
          <w:rFonts w:ascii="HelveticaNeueLT Pro 55 Roman" w:hAnsi="HelveticaNeueLT Pro 55 Roman"/>
          <w:b/>
          <w:sz w:val="26"/>
          <w:szCs w:val="26"/>
        </w:rPr>
        <w:br/>
      </w:r>
    </w:p>
    <w:p w14:paraId="7D7C50A4" w14:textId="77777777" w:rsidR="00F24B98" w:rsidRDefault="00F24B98" w:rsidP="00F24B98">
      <w:pPr>
        <w:suppressAutoHyphens/>
        <w:spacing w:after="0" w:line="360" w:lineRule="auto"/>
        <w:rPr>
          <w:sz w:val="20"/>
          <w:szCs w:val="20"/>
        </w:rPr>
      </w:pPr>
    </w:p>
    <w:p w14:paraId="252EB012" w14:textId="77777777" w:rsidR="00F24B98" w:rsidRPr="00F24B98" w:rsidRDefault="00F24B98" w:rsidP="00ED0AB4">
      <w:pPr>
        <w:suppressAutoHyphens/>
        <w:spacing w:line="360" w:lineRule="auto"/>
        <w:rPr>
          <w:b/>
          <w:sz w:val="20"/>
          <w:szCs w:val="20"/>
        </w:rPr>
      </w:pPr>
      <w:r w:rsidRPr="00F24B98">
        <w:rPr>
          <w:b/>
          <w:sz w:val="20"/>
          <w:szCs w:val="20"/>
        </w:rPr>
        <w:t>Study design</w:t>
      </w:r>
    </w:p>
    <w:p w14:paraId="05F2F460" w14:textId="77777777" w:rsidR="00D6495D" w:rsidRDefault="00484CCB" w:rsidP="00F24B98">
      <w:pPr>
        <w:suppressAutoHyphens/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Our analyses of how dead-wood enrichment affects saproxylic insects were based on studies with a BACI or CI design</w:t>
      </w:r>
      <w:r w:rsidR="00F24B98" w:rsidRPr="00103FA7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Both kinds of study showed positive effects on abundance and richness, but </w:t>
      </w:r>
      <w:r w:rsidR="001E613F">
        <w:rPr>
          <w:sz w:val="20"/>
          <w:szCs w:val="20"/>
        </w:rPr>
        <w:t xml:space="preserve">the effects were stronger according to </w:t>
      </w:r>
      <w:r>
        <w:rPr>
          <w:sz w:val="20"/>
          <w:szCs w:val="20"/>
        </w:rPr>
        <w:t xml:space="preserve">BACI studies </w:t>
      </w:r>
      <w:r w:rsidR="00F24B98" w:rsidRPr="00DD2CF4">
        <w:rPr>
          <w:sz w:val="20"/>
          <w:szCs w:val="20"/>
        </w:rPr>
        <w:t>(abundance: SMD: 1.68, CI: 0.93, 2.43</w:t>
      </w:r>
      <w:r w:rsidR="00CA0356">
        <w:rPr>
          <w:sz w:val="20"/>
          <w:szCs w:val="20"/>
        </w:rPr>
        <w:t>, n=11</w:t>
      </w:r>
      <w:r>
        <w:rPr>
          <w:sz w:val="20"/>
          <w:szCs w:val="20"/>
        </w:rPr>
        <w:t>;</w:t>
      </w:r>
      <w:r w:rsidR="00F24B98" w:rsidRPr="00DD2CF4">
        <w:rPr>
          <w:sz w:val="20"/>
          <w:szCs w:val="20"/>
        </w:rPr>
        <w:t xml:space="preserve"> richness: </w:t>
      </w:r>
      <w:r>
        <w:rPr>
          <w:sz w:val="20"/>
          <w:szCs w:val="20"/>
        </w:rPr>
        <w:t xml:space="preserve">SMD: </w:t>
      </w:r>
      <w:r w:rsidR="00F24B98" w:rsidRPr="00DD2CF4">
        <w:rPr>
          <w:sz w:val="20"/>
          <w:szCs w:val="20"/>
        </w:rPr>
        <w:t>2.69, CI: 0.85, 4.67</w:t>
      </w:r>
      <w:r w:rsidR="00CA0356">
        <w:rPr>
          <w:sz w:val="20"/>
          <w:szCs w:val="20"/>
        </w:rPr>
        <w:t>, n=12</w:t>
      </w:r>
      <w:r w:rsidR="00F24B98" w:rsidRPr="00DD2CF4">
        <w:rPr>
          <w:sz w:val="20"/>
          <w:szCs w:val="20"/>
        </w:rPr>
        <w:t xml:space="preserve">) than </w:t>
      </w:r>
      <w:r w:rsidR="001E613F">
        <w:rPr>
          <w:sz w:val="20"/>
          <w:szCs w:val="20"/>
        </w:rPr>
        <w:t xml:space="preserve">according to </w:t>
      </w:r>
      <w:r>
        <w:rPr>
          <w:sz w:val="20"/>
          <w:szCs w:val="20"/>
        </w:rPr>
        <w:t>CI studies</w:t>
      </w:r>
      <w:r w:rsidR="00F24B98" w:rsidRPr="00DD2CF4">
        <w:rPr>
          <w:sz w:val="20"/>
          <w:szCs w:val="20"/>
        </w:rPr>
        <w:t xml:space="preserve"> (abundance: SMD: 0.65, CI: 0.41, 0.89</w:t>
      </w:r>
      <w:r w:rsidR="00CA0356">
        <w:rPr>
          <w:sz w:val="20"/>
          <w:szCs w:val="20"/>
        </w:rPr>
        <w:t>, n=36;</w:t>
      </w:r>
      <w:r w:rsidR="00F24B98" w:rsidRPr="00DD2CF4">
        <w:rPr>
          <w:sz w:val="20"/>
          <w:szCs w:val="20"/>
        </w:rPr>
        <w:t xml:space="preserve"> richness: </w:t>
      </w:r>
      <w:r w:rsidR="00CA0356">
        <w:rPr>
          <w:sz w:val="20"/>
          <w:szCs w:val="20"/>
        </w:rPr>
        <w:t xml:space="preserve">SMD: </w:t>
      </w:r>
      <w:r w:rsidR="00F24B98" w:rsidRPr="00DD2CF4">
        <w:rPr>
          <w:sz w:val="20"/>
          <w:szCs w:val="20"/>
        </w:rPr>
        <w:t>0.93, CI: 0.6</w:t>
      </w:r>
      <w:r w:rsidR="00CA0356">
        <w:rPr>
          <w:sz w:val="20"/>
          <w:szCs w:val="20"/>
        </w:rPr>
        <w:t>0</w:t>
      </w:r>
      <w:r w:rsidR="00F24B98" w:rsidRPr="00DD2CF4">
        <w:rPr>
          <w:sz w:val="20"/>
          <w:szCs w:val="20"/>
        </w:rPr>
        <w:t>, 1.26</w:t>
      </w:r>
      <w:r w:rsidR="00CA0356">
        <w:rPr>
          <w:sz w:val="20"/>
          <w:szCs w:val="20"/>
        </w:rPr>
        <w:t>, n=18</w:t>
      </w:r>
      <w:r w:rsidR="00F24B98" w:rsidRPr="00DD2CF4">
        <w:rPr>
          <w:sz w:val="20"/>
          <w:szCs w:val="20"/>
        </w:rPr>
        <w:t>).</w:t>
      </w:r>
    </w:p>
    <w:p w14:paraId="0B256C32" w14:textId="666F5E99" w:rsidR="00F24B98" w:rsidRDefault="00F24B98" w:rsidP="00F24B98">
      <w:pPr>
        <w:suppressAutoHyphens/>
        <w:spacing w:after="0" w:line="360" w:lineRule="auto"/>
        <w:rPr>
          <w:sz w:val="20"/>
          <w:szCs w:val="20"/>
        </w:rPr>
      </w:pPr>
    </w:p>
    <w:p w14:paraId="598D0852" w14:textId="77777777" w:rsidR="00BB3657" w:rsidRDefault="00BB3657" w:rsidP="00F24B98">
      <w:pPr>
        <w:suppressAutoHyphens/>
        <w:spacing w:after="0" w:line="360" w:lineRule="auto"/>
        <w:rPr>
          <w:sz w:val="20"/>
          <w:szCs w:val="20"/>
        </w:rPr>
      </w:pPr>
    </w:p>
    <w:p w14:paraId="35B482D8" w14:textId="77777777" w:rsidR="00484CCB" w:rsidRPr="00484CCB" w:rsidRDefault="00484CCB" w:rsidP="00ED0AB4">
      <w:pPr>
        <w:suppressAutoHyphens/>
        <w:spacing w:line="360" w:lineRule="auto"/>
        <w:rPr>
          <w:b/>
          <w:sz w:val="20"/>
          <w:szCs w:val="20"/>
        </w:rPr>
      </w:pPr>
      <w:r w:rsidRPr="00484CCB">
        <w:rPr>
          <w:b/>
          <w:sz w:val="20"/>
          <w:szCs w:val="20"/>
        </w:rPr>
        <w:t>Study validity</w:t>
      </w:r>
    </w:p>
    <w:p w14:paraId="690C79A6" w14:textId="77777777" w:rsidR="00F1528D" w:rsidRDefault="00F24B98" w:rsidP="00F24B98">
      <w:pPr>
        <w:suppressAutoHyphens/>
        <w:spacing w:after="0" w:line="360" w:lineRule="auto"/>
        <w:rPr>
          <w:sz w:val="20"/>
          <w:szCs w:val="20"/>
        </w:rPr>
      </w:pPr>
      <w:r w:rsidRPr="00DD2CF4">
        <w:rPr>
          <w:sz w:val="20"/>
          <w:szCs w:val="20"/>
        </w:rPr>
        <w:t xml:space="preserve">The </w:t>
      </w:r>
      <w:r w:rsidR="00AC35B9">
        <w:rPr>
          <w:sz w:val="20"/>
          <w:szCs w:val="20"/>
        </w:rPr>
        <w:t xml:space="preserve">majority of studies included in the review were assessed by us to have high validity. Of the studies </w:t>
      </w:r>
      <w:r w:rsidR="00F1528D">
        <w:rPr>
          <w:sz w:val="20"/>
          <w:szCs w:val="20"/>
        </w:rPr>
        <w:t>that reported</w:t>
      </w:r>
      <w:r w:rsidR="00AC35B9">
        <w:rPr>
          <w:sz w:val="20"/>
          <w:szCs w:val="20"/>
        </w:rPr>
        <w:t xml:space="preserve"> meta-analysable data on saproxylic insects, only </w:t>
      </w:r>
      <w:r w:rsidRPr="00DD2CF4">
        <w:rPr>
          <w:sz w:val="20"/>
          <w:szCs w:val="20"/>
        </w:rPr>
        <w:t xml:space="preserve">two </w:t>
      </w:r>
      <w:r w:rsidR="00AC35B9">
        <w:rPr>
          <w:sz w:val="20"/>
          <w:szCs w:val="20"/>
        </w:rPr>
        <w:t xml:space="preserve">were assessed to have medium validity. </w:t>
      </w:r>
      <w:r w:rsidR="00F1528D">
        <w:rPr>
          <w:sz w:val="20"/>
          <w:szCs w:val="20"/>
        </w:rPr>
        <w:t>With the medium-validity studies excluded, we found somewhat weaker effects on abundance and richness than w</w:t>
      </w:r>
      <w:r w:rsidR="006B45F5">
        <w:rPr>
          <w:sz w:val="20"/>
          <w:szCs w:val="20"/>
        </w:rPr>
        <w:t>hen</w:t>
      </w:r>
      <w:r w:rsidR="00F1528D">
        <w:rPr>
          <w:sz w:val="20"/>
          <w:szCs w:val="20"/>
        </w:rPr>
        <w:t xml:space="preserve"> all studies </w:t>
      </w:r>
      <w:r w:rsidR="006B45F5">
        <w:rPr>
          <w:sz w:val="20"/>
          <w:szCs w:val="20"/>
        </w:rPr>
        <w:t xml:space="preserve">were </w:t>
      </w:r>
      <w:r w:rsidR="00F1528D">
        <w:rPr>
          <w:sz w:val="20"/>
          <w:szCs w:val="20"/>
        </w:rPr>
        <w:t>included</w:t>
      </w:r>
      <w:r w:rsidR="006B45F5">
        <w:rPr>
          <w:sz w:val="20"/>
          <w:szCs w:val="20"/>
        </w:rPr>
        <w:t xml:space="preserve">, although the effects remained clearly significant. </w:t>
      </w:r>
      <w:r w:rsidR="00F1528D">
        <w:rPr>
          <w:sz w:val="20"/>
          <w:szCs w:val="20"/>
        </w:rPr>
        <w:t xml:space="preserve">For saproxylic insect abundance, the SMD changed from 0.85 (CI: 0.56, 1.14, n=47) </w:t>
      </w:r>
      <w:r w:rsidR="006B45F5">
        <w:rPr>
          <w:sz w:val="20"/>
          <w:szCs w:val="20"/>
        </w:rPr>
        <w:t xml:space="preserve">with all studies included to </w:t>
      </w:r>
      <w:r w:rsidR="00F1528D">
        <w:rPr>
          <w:sz w:val="20"/>
          <w:szCs w:val="20"/>
        </w:rPr>
        <w:t xml:space="preserve">0.75 (CI: 0.53, 0.97, n=45) with only high-validity studies included. For richness, it changed from </w:t>
      </w:r>
      <w:r w:rsidR="001B4F29">
        <w:rPr>
          <w:sz w:val="20"/>
          <w:szCs w:val="20"/>
        </w:rPr>
        <w:t>1.74 (CI: 0.69, 2.78, n=30) to 1.19 (CI: 0.77, 1.60, n=28).</w:t>
      </w:r>
    </w:p>
    <w:p w14:paraId="1EA3C5B3" w14:textId="12850B7B" w:rsidR="00F1528D" w:rsidRDefault="00F1528D" w:rsidP="00F24B98">
      <w:pPr>
        <w:suppressAutoHyphens/>
        <w:spacing w:after="0" w:line="360" w:lineRule="auto"/>
        <w:rPr>
          <w:sz w:val="20"/>
          <w:szCs w:val="20"/>
        </w:rPr>
      </w:pPr>
    </w:p>
    <w:p w14:paraId="1516316C" w14:textId="77777777" w:rsidR="00BB3657" w:rsidRDefault="00BB3657" w:rsidP="00F24B98">
      <w:pPr>
        <w:suppressAutoHyphens/>
        <w:spacing w:after="0" w:line="360" w:lineRule="auto"/>
        <w:rPr>
          <w:sz w:val="20"/>
          <w:szCs w:val="20"/>
        </w:rPr>
      </w:pPr>
    </w:p>
    <w:p w14:paraId="55C8948D" w14:textId="77777777" w:rsidR="003F3518" w:rsidRPr="003F3518" w:rsidRDefault="003F3518" w:rsidP="00ED0AB4">
      <w:pPr>
        <w:suppressAutoHyphens/>
        <w:spacing w:line="360" w:lineRule="auto"/>
        <w:rPr>
          <w:b/>
          <w:sz w:val="20"/>
          <w:szCs w:val="20"/>
        </w:rPr>
      </w:pPr>
      <w:r w:rsidRPr="003F3518">
        <w:rPr>
          <w:b/>
          <w:sz w:val="20"/>
          <w:szCs w:val="20"/>
        </w:rPr>
        <w:t>Results from first vs. final year of sampling</w:t>
      </w:r>
    </w:p>
    <w:p w14:paraId="13FA046D" w14:textId="6528849C" w:rsidR="006F3A57" w:rsidRDefault="003F3518" w:rsidP="003F3518">
      <w:pPr>
        <w:suppressAutoHyphens/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As a </w:t>
      </w:r>
      <w:r w:rsidRPr="00DD2CF4">
        <w:rPr>
          <w:sz w:val="20"/>
          <w:szCs w:val="20"/>
        </w:rPr>
        <w:t xml:space="preserve">check </w:t>
      </w:r>
      <w:r>
        <w:rPr>
          <w:sz w:val="20"/>
          <w:szCs w:val="20"/>
        </w:rPr>
        <w:t xml:space="preserve">of </w:t>
      </w:r>
      <w:r w:rsidRPr="00DD2CF4">
        <w:rPr>
          <w:sz w:val="20"/>
          <w:szCs w:val="20"/>
        </w:rPr>
        <w:t xml:space="preserve">the robustness of our findings, we repeated </w:t>
      </w:r>
      <w:r>
        <w:rPr>
          <w:sz w:val="20"/>
          <w:szCs w:val="20"/>
        </w:rPr>
        <w:t>all</w:t>
      </w:r>
      <w:r w:rsidRPr="00DD2CF4">
        <w:rPr>
          <w:sz w:val="20"/>
          <w:szCs w:val="20"/>
        </w:rPr>
        <w:t xml:space="preserve"> meta-analyses using data from the first year </w:t>
      </w:r>
      <w:r>
        <w:rPr>
          <w:sz w:val="20"/>
          <w:szCs w:val="20"/>
        </w:rPr>
        <w:t>after treatment</w:t>
      </w:r>
      <w:r w:rsidRPr="00DD2CF4">
        <w:rPr>
          <w:sz w:val="20"/>
          <w:szCs w:val="20"/>
        </w:rPr>
        <w:t xml:space="preserve"> instead of the final year (</w:t>
      </w:r>
      <w:r>
        <w:rPr>
          <w:sz w:val="20"/>
          <w:szCs w:val="20"/>
        </w:rPr>
        <w:t xml:space="preserve">Figure </w:t>
      </w:r>
      <w:r w:rsidR="00A45216">
        <w:rPr>
          <w:sz w:val="20"/>
          <w:szCs w:val="20"/>
        </w:rPr>
        <w:t>A9-</w:t>
      </w:r>
      <w:r>
        <w:rPr>
          <w:sz w:val="20"/>
          <w:szCs w:val="20"/>
        </w:rPr>
        <w:t>1</w:t>
      </w:r>
      <w:r w:rsidRPr="00DD2CF4">
        <w:rPr>
          <w:sz w:val="20"/>
          <w:szCs w:val="20"/>
        </w:rPr>
        <w:t>). The average time since int</w:t>
      </w:r>
      <w:bookmarkStart w:id="0" w:name="_GoBack"/>
      <w:bookmarkEnd w:id="0"/>
      <w:r w:rsidRPr="00DD2CF4">
        <w:rPr>
          <w:sz w:val="20"/>
          <w:szCs w:val="20"/>
        </w:rPr>
        <w:t>ervention did not differ much between the two sets of analyses (</w:t>
      </w:r>
      <w:r w:rsidR="006A5583">
        <w:rPr>
          <w:sz w:val="20"/>
          <w:szCs w:val="20"/>
        </w:rPr>
        <w:t xml:space="preserve">Table </w:t>
      </w:r>
      <w:r w:rsidR="00A45216">
        <w:rPr>
          <w:sz w:val="20"/>
          <w:szCs w:val="20"/>
        </w:rPr>
        <w:t>A9-</w:t>
      </w:r>
      <w:r w:rsidR="006A5583">
        <w:rPr>
          <w:sz w:val="20"/>
          <w:szCs w:val="20"/>
        </w:rPr>
        <w:t>1</w:t>
      </w:r>
      <w:r w:rsidRPr="00DD2CF4">
        <w:rPr>
          <w:sz w:val="20"/>
          <w:szCs w:val="20"/>
        </w:rPr>
        <w:t>)</w:t>
      </w:r>
      <w:r>
        <w:rPr>
          <w:sz w:val="20"/>
          <w:szCs w:val="20"/>
        </w:rPr>
        <w:t xml:space="preserve">, and the </w:t>
      </w:r>
      <w:r w:rsidRPr="00DD2CF4">
        <w:rPr>
          <w:sz w:val="20"/>
          <w:szCs w:val="20"/>
        </w:rPr>
        <w:t xml:space="preserve">conclusions on </w:t>
      </w:r>
      <w:r>
        <w:rPr>
          <w:sz w:val="20"/>
          <w:szCs w:val="20"/>
        </w:rPr>
        <w:t xml:space="preserve">the </w:t>
      </w:r>
      <w:r w:rsidRPr="00DD2CF4">
        <w:rPr>
          <w:sz w:val="20"/>
          <w:szCs w:val="20"/>
        </w:rPr>
        <w:t xml:space="preserve">abundance and richness responses remained </w:t>
      </w:r>
      <w:r>
        <w:rPr>
          <w:sz w:val="20"/>
          <w:szCs w:val="20"/>
        </w:rPr>
        <w:t xml:space="preserve">mainly </w:t>
      </w:r>
      <w:r w:rsidRPr="00DD2CF4">
        <w:rPr>
          <w:sz w:val="20"/>
          <w:szCs w:val="20"/>
        </w:rPr>
        <w:t>unchanged</w:t>
      </w:r>
      <w:r>
        <w:rPr>
          <w:sz w:val="20"/>
          <w:szCs w:val="20"/>
        </w:rPr>
        <w:t>.</w:t>
      </w:r>
      <w:r w:rsidRPr="00DD2CF4">
        <w:rPr>
          <w:sz w:val="20"/>
          <w:szCs w:val="20"/>
        </w:rPr>
        <w:t xml:space="preserve"> </w:t>
      </w:r>
      <w:r>
        <w:rPr>
          <w:sz w:val="20"/>
          <w:szCs w:val="20"/>
        </w:rPr>
        <w:t>The only exception was</w:t>
      </w:r>
      <w:r w:rsidRPr="00DD2CF4">
        <w:rPr>
          <w:sz w:val="20"/>
          <w:szCs w:val="20"/>
        </w:rPr>
        <w:t xml:space="preserve"> wood-inhabiting fungi, where the difference </w:t>
      </w:r>
      <w:r w:rsidR="006A5583">
        <w:rPr>
          <w:sz w:val="20"/>
          <w:szCs w:val="20"/>
        </w:rPr>
        <w:t xml:space="preserve">between first and final time of sampling </w:t>
      </w:r>
      <w:r w:rsidRPr="00DD2CF4">
        <w:rPr>
          <w:sz w:val="20"/>
          <w:szCs w:val="20"/>
        </w:rPr>
        <w:t>was more than 5 years</w:t>
      </w:r>
      <w:r w:rsidR="006A5583">
        <w:rPr>
          <w:sz w:val="20"/>
          <w:szCs w:val="20"/>
        </w:rPr>
        <w:t xml:space="preserve">. In this case, </w:t>
      </w:r>
      <w:r>
        <w:rPr>
          <w:sz w:val="20"/>
          <w:szCs w:val="20"/>
        </w:rPr>
        <w:t>the effects of dead-wood manipulation were</w:t>
      </w:r>
      <w:r w:rsidRPr="00DD2CF4">
        <w:rPr>
          <w:sz w:val="20"/>
          <w:szCs w:val="20"/>
        </w:rPr>
        <w:t xml:space="preserve"> non-significant in the first year but significantly positive in the final year.</w:t>
      </w:r>
    </w:p>
    <w:p w14:paraId="144B42DA" w14:textId="77777777" w:rsidR="006F3A57" w:rsidRDefault="006F3A57" w:rsidP="003F3518">
      <w:pPr>
        <w:suppressAutoHyphens/>
        <w:spacing w:after="0" w:line="360" w:lineRule="auto"/>
        <w:rPr>
          <w:sz w:val="20"/>
          <w:szCs w:val="20"/>
        </w:rPr>
      </w:pPr>
    </w:p>
    <w:p w14:paraId="17EF187A" w14:textId="27695C3E" w:rsidR="006F3A57" w:rsidRDefault="00B26034" w:rsidP="003F3518">
      <w:pPr>
        <w:suppressAutoHyphens/>
        <w:spacing w:after="0" w:line="360" w:lineRule="auto"/>
        <w:rPr>
          <w:sz w:val="20"/>
          <w:szCs w:val="20"/>
        </w:rPr>
      </w:pPr>
      <w:r>
        <w:rPr>
          <w:noProof/>
          <w:sz w:val="20"/>
          <w:szCs w:val="20"/>
          <w:lang w:val="en-US"/>
        </w:rPr>
        <w:lastRenderedPageBreak/>
        <w:drawing>
          <wp:inline distT="0" distB="0" distL="0" distR="0" wp14:anchorId="6FD6F27D" wp14:editId="36651781">
            <wp:extent cx="5972810" cy="5422215"/>
            <wp:effectExtent l="0" t="0" r="0" b="762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R12summaryplot_first yea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5422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23CC2">
        <w:rPr>
          <w:sz w:val="20"/>
          <w:szCs w:val="20"/>
        </w:rPr>
        <w:br/>
      </w:r>
    </w:p>
    <w:p w14:paraId="261F1185" w14:textId="62B5A3AE" w:rsidR="00B26034" w:rsidRDefault="00B26034" w:rsidP="00B26034">
      <w:pPr>
        <w:suppressAutoHyphens/>
        <w:spacing w:after="0" w:line="360" w:lineRule="auto"/>
        <w:rPr>
          <w:rFonts w:ascii="HelveticaNeueLT Pro 55 Roman" w:hAnsi="HelveticaNeueLT Pro 55 Roman"/>
          <w:sz w:val="18"/>
          <w:szCs w:val="18"/>
        </w:rPr>
      </w:pPr>
      <w:r w:rsidRPr="007155BC">
        <w:rPr>
          <w:rFonts w:ascii="HelveticaNeueLT Pro 55 Roman" w:hAnsi="HelveticaNeueLT Pro 55 Roman"/>
          <w:b/>
          <w:sz w:val="18"/>
          <w:szCs w:val="18"/>
        </w:rPr>
        <w:t xml:space="preserve">Figure </w:t>
      </w:r>
      <w:r w:rsidR="00A45216">
        <w:rPr>
          <w:rFonts w:ascii="HelveticaNeueLT Pro 55 Roman" w:hAnsi="HelveticaNeueLT Pro 55 Roman"/>
          <w:b/>
          <w:sz w:val="18"/>
          <w:szCs w:val="18"/>
        </w:rPr>
        <w:t>A9-</w:t>
      </w:r>
      <w:r>
        <w:rPr>
          <w:rFonts w:ascii="HelveticaNeueLT Pro 55 Roman" w:hAnsi="HelveticaNeueLT Pro 55 Roman"/>
          <w:b/>
          <w:sz w:val="18"/>
          <w:szCs w:val="18"/>
        </w:rPr>
        <w:t>1</w:t>
      </w:r>
      <w:r w:rsidRPr="007155BC">
        <w:rPr>
          <w:rFonts w:ascii="HelveticaNeueLT Pro 55 Roman" w:hAnsi="HelveticaNeueLT Pro 55 Roman"/>
          <w:b/>
          <w:sz w:val="18"/>
          <w:szCs w:val="18"/>
        </w:rPr>
        <w:t>. Responses of the abundance and richness of different taxon groups to dead-wood manipulation.</w:t>
      </w:r>
      <w:r>
        <w:rPr>
          <w:rFonts w:ascii="HelveticaNeueLT Pro 55 Roman" w:hAnsi="HelveticaNeueLT Pro 55 Roman"/>
          <w:b/>
          <w:sz w:val="18"/>
          <w:szCs w:val="18"/>
        </w:rPr>
        <w:t xml:space="preserve"> </w:t>
      </w:r>
      <w:r w:rsidRPr="00103FA7">
        <w:rPr>
          <w:rFonts w:ascii="HelveticaNeueLT Pro 55 Roman" w:hAnsi="HelveticaNeueLT Pro 55 Roman"/>
          <w:sz w:val="18"/>
          <w:szCs w:val="18"/>
        </w:rPr>
        <w:t>Analyses were based on d</w:t>
      </w:r>
      <w:r w:rsidRPr="00DD2CF4">
        <w:rPr>
          <w:rFonts w:ascii="HelveticaNeueLT Pro 55 Roman" w:hAnsi="HelveticaNeueLT Pro 55 Roman"/>
          <w:sz w:val="18"/>
          <w:szCs w:val="18"/>
        </w:rPr>
        <w:t xml:space="preserve">ata from the </w:t>
      </w:r>
      <w:r>
        <w:rPr>
          <w:rFonts w:ascii="HelveticaNeueLT Pro 55 Roman" w:hAnsi="HelveticaNeueLT Pro 55 Roman"/>
          <w:sz w:val="18"/>
          <w:szCs w:val="18"/>
        </w:rPr>
        <w:t>first post-treatment</w:t>
      </w:r>
      <w:r w:rsidRPr="00DD2CF4">
        <w:rPr>
          <w:rFonts w:ascii="HelveticaNeueLT Pro 55 Roman" w:hAnsi="HelveticaNeueLT Pro 55 Roman"/>
          <w:sz w:val="18"/>
          <w:szCs w:val="18"/>
        </w:rPr>
        <w:t xml:space="preserve"> year of sampling</w:t>
      </w:r>
      <w:r>
        <w:rPr>
          <w:rFonts w:ascii="HelveticaNeueLT Pro 55 Roman" w:hAnsi="HelveticaNeueLT Pro 55 Roman"/>
          <w:sz w:val="18"/>
          <w:szCs w:val="18"/>
        </w:rPr>
        <w:t xml:space="preserve"> for each study – cf. Figure 2 in the main text, which is based on data from the final year of sampling.</w:t>
      </w:r>
    </w:p>
    <w:p w14:paraId="2D3C5656" w14:textId="68000ACF" w:rsidR="006F3A57" w:rsidRDefault="006F3A57" w:rsidP="003F3518">
      <w:pPr>
        <w:suppressAutoHyphens/>
        <w:spacing w:after="0" w:line="360" w:lineRule="auto"/>
        <w:rPr>
          <w:sz w:val="20"/>
          <w:szCs w:val="20"/>
        </w:rPr>
      </w:pPr>
    </w:p>
    <w:p w14:paraId="5A8545A3" w14:textId="77777777" w:rsidR="00656C51" w:rsidRDefault="00656C51" w:rsidP="003F3518">
      <w:pPr>
        <w:suppressAutoHyphens/>
        <w:spacing w:after="0" w:line="360" w:lineRule="auto"/>
        <w:rPr>
          <w:rFonts w:ascii="HelveticaNeueLT Pro 55 Roman" w:hAnsi="HelveticaNeueLT Pro 55 Roman"/>
          <w:b/>
          <w:sz w:val="18"/>
          <w:szCs w:val="18"/>
        </w:rPr>
      </w:pPr>
    </w:p>
    <w:p w14:paraId="7591D665" w14:textId="77777777" w:rsidR="00656C51" w:rsidRDefault="00656C51" w:rsidP="003F3518">
      <w:pPr>
        <w:suppressAutoHyphens/>
        <w:spacing w:after="0" w:line="360" w:lineRule="auto"/>
        <w:rPr>
          <w:rFonts w:ascii="HelveticaNeueLT Pro 55 Roman" w:hAnsi="HelveticaNeueLT Pro 55 Roman"/>
          <w:b/>
          <w:sz w:val="18"/>
          <w:szCs w:val="18"/>
        </w:rPr>
      </w:pPr>
    </w:p>
    <w:p w14:paraId="46C4596C" w14:textId="77777777" w:rsidR="00656C51" w:rsidRDefault="00656C51" w:rsidP="003F3518">
      <w:pPr>
        <w:suppressAutoHyphens/>
        <w:spacing w:after="0" w:line="360" w:lineRule="auto"/>
        <w:rPr>
          <w:rFonts w:ascii="HelveticaNeueLT Pro 55 Roman" w:hAnsi="HelveticaNeueLT Pro 55 Roman"/>
          <w:b/>
          <w:sz w:val="18"/>
          <w:szCs w:val="18"/>
        </w:rPr>
      </w:pPr>
    </w:p>
    <w:p w14:paraId="31AB46BF" w14:textId="77777777" w:rsidR="00656C51" w:rsidRDefault="00656C51" w:rsidP="003F3518">
      <w:pPr>
        <w:suppressAutoHyphens/>
        <w:spacing w:after="0" w:line="360" w:lineRule="auto"/>
        <w:rPr>
          <w:rFonts w:ascii="HelveticaNeueLT Pro 55 Roman" w:hAnsi="HelveticaNeueLT Pro 55 Roman"/>
          <w:b/>
          <w:sz w:val="18"/>
          <w:szCs w:val="18"/>
        </w:rPr>
      </w:pPr>
    </w:p>
    <w:p w14:paraId="4C47791F" w14:textId="77777777" w:rsidR="00656C51" w:rsidRDefault="00656C51" w:rsidP="003F3518">
      <w:pPr>
        <w:suppressAutoHyphens/>
        <w:spacing w:after="0" w:line="360" w:lineRule="auto"/>
        <w:rPr>
          <w:rFonts w:ascii="HelveticaNeueLT Pro 55 Roman" w:hAnsi="HelveticaNeueLT Pro 55 Roman"/>
          <w:b/>
          <w:sz w:val="18"/>
          <w:szCs w:val="18"/>
        </w:rPr>
      </w:pPr>
    </w:p>
    <w:p w14:paraId="7B427DE3" w14:textId="77777777" w:rsidR="00656C51" w:rsidRDefault="00656C51" w:rsidP="003F3518">
      <w:pPr>
        <w:suppressAutoHyphens/>
        <w:spacing w:after="0" w:line="360" w:lineRule="auto"/>
        <w:rPr>
          <w:rFonts w:ascii="HelveticaNeueLT Pro 55 Roman" w:hAnsi="HelveticaNeueLT Pro 55 Roman"/>
          <w:b/>
          <w:sz w:val="18"/>
          <w:szCs w:val="18"/>
        </w:rPr>
      </w:pPr>
    </w:p>
    <w:p w14:paraId="14A69E03" w14:textId="77777777" w:rsidR="00656C51" w:rsidRDefault="00656C51" w:rsidP="003F3518">
      <w:pPr>
        <w:suppressAutoHyphens/>
        <w:spacing w:after="0" w:line="360" w:lineRule="auto"/>
        <w:rPr>
          <w:rFonts w:ascii="HelveticaNeueLT Pro 55 Roman" w:hAnsi="HelveticaNeueLT Pro 55 Roman"/>
          <w:b/>
          <w:sz w:val="18"/>
          <w:szCs w:val="18"/>
        </w:rPr>
      </w:pPr>
    </w:p>
    <w:p w14:paraId="7E6A03D1" w14:textId="77777777" w:rsidR="00656C51" w:rsidRDefault="00656C51" w:rsidP="003F3518">
      <w:pPr>
        <w:suppressAutoHyphens/>
        <w:spacing w:after="0" w:line="360" w:lineRule="auto"/>
        <w:rPr>
          <w:rFonts w:ascii="HelveticaNeueLT Pro 55 Roman" w:hAnsi="HelveticaNeueLT Pro 55 Roman"/>
          <w:b/>
          <w:sz w:val="18"/>
          <w:szCs w:val="18"/>
        </w:rPr>
      </w:pPr>
    </w:p>
    <w:p w14:paraId="521B3987" w14:textId="77777777" w:rsidR="00656C51" w:rsidRDefault="00656C51" w:rsidP="003F3518">
      <w:pPr>
        <w:suppressAutoHyphens/>
        <w:spacing w:after="0" w:line="360" w:lineRule="auto"/>
        <w:rPr>
          <w:rFonts w:ascii="HelveticaNeueLT Pro 55 Roman" w:hAnsi="HelveticaNeueLT Pro 55 Roman"/>
          <w:b/>
          <w:sz w:val="18"/>
          <w:szCs w:val="18"/>
        </w:rPr>
      </w:pPr>
    </w:p>
    <w:p w14:paraId="502AF1A3" w14:textId="5DE24A9E" w:rsidR="00B26034" w:rsidRPr="00FD1BEF" w:rsidRDefault="00B26034" w:rsidP="00FD1BEF">
      <w:pPr>
        <w:suppressAutoHyphens/>
        <w:spacing w:after="0" w:line="360" w:lineRule="auto"/>
        <w:jc w:val="center"/>
        <w:rPr>
          <w:rFonts w:ascii="HelveticaNeueLT Pro 55 Roman" w:hAnsi="HelveticaNeueLT Pro 55 Roman"/>
        </w:rPr>
      </w:pPr>
      <w:r w:rsidRPr="00FD1BEF">
        <w:rPr>
          <w:rFonts w:ascii="HelveticaNeueLT Pro 55 Roman" w:hAnsi="HelveticaNeueLT Pro 55 Roman"/>
          <w:b/>
        </w:rPr>
        <w:t>Table</w:t>
      </w:r>
      <w:r w:rsidR="00FD1BEF" w:rsidRPr="00FD1BEF">
        <w:rPr>
          <w:rFonts w:ascii="HelveticaNeueLT Pro 55 Roman" w:hAnsi="HelveticaNeueLT Pro 55 Roman"/>
          <w:b/>
        </w:rPr>
        <w:t xml:space="preserve"> A9-</w:t>
      </w:r>
      <w:r w:rsidRPr="00FD1BEF">
        <w:rPr>
          <w:rFonts w:ascii="HelveticaNeueLT Pro 55 Roman" w:hAnsi="HelveticaNeueLT Pro 55 Roman"/>
          <w:b/>
        </w:rPr>
        <w:t>1.</w:t>
      </w:r>
      <w:r w:rsidRPr="00FD1BEF">
        <w:rPr>
          <w:rFonts w:ascii="HelveticaNeueLT Pro 55 Roman" w:hAnsi="HelveticaNeueLT Pro 55 Roman"/>
        </w:rPr>
        <w:t xml:space="preserve">  </w:t>
      </w:r>
      <w:r w:rsidRPr="00FD1BEF">
        <w:rPr>
          <w:rFonts w:ascii="HelveticaNeueLT Pro 55 Roman" w:hAnsi="HelveticaNeueLT Pro 55 Roman"/>
          <w:b/>
        </w:rPr>
        <w:t>Average time elapsed since intervention.</w:t>
      </w:r>
      <w:r w:rsidR="00A45216">
        <w:rPr>
          <w:rFonts w:ascii="HelveticaNeueLT Pro 55 Roman" w:hAnsi="HelveticaNeueLT Pro 55 Roman"/>
          <w:b/>
        </w:rPr>
        <w:br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261"/>
        <w:gridCol w:w="1134"/>
        <w:gridCol w:w="1134"/>
        <w:gridCol w:w="1134"/>
        <w:gridCol w:w="1134"/>
        <w:gridCol w:w="1559"/>
      </w:tblGrid>
      <w:tr w:rsidR="003F3518" w14:paraId="39CC89B5" w14:textId="77777777" w:rsidTr="00656C51">
        <w:trPr>
          <w:trHeight w:val="300"/>
        </w:trPr>
        <w:tc>
          <w:tcPr>
            <w:tcW w:w="9356" w:type="dxa"/>
            <w:gridSpan w:val="6"/>
            <w:noWrap/>
            <w:hideMark/>
          </w:tcPr>
          <w:p w14:paraId="475F9B10" w14:textId="77777777" w:rsidR="003F3518" w:rsidRPr="00A45216" w:rsidRDefault="003F3518" w:rsidP="006F3A57">
            <w:pPr>
              <w:suppressAutoHyphens/>
              <w:spacing w:before="120" w:line="240" w:lineRule="auto"/>
              <w:jc w:val="center"/>
              <w:rPr>
                <w:rFonts w:ascii="HelveticaNeueLT Pro 55 Roman" w:eastAsia="Times New Roman" w:hAnsi="HelveticaNeueLT Pro 55 Roman"/>
                <w:sz w:val="20"/>
                <w:szCs w:val="20"/>
                <w:lang w:eastAsia="sv-SE"/>
              </w:rPr>
            </w:pPr>
            <w:r w:rsidRPr="00A45216">
              <w:rPr>
                <w:rFonts w:ascii="HelveticaNeueLT Pro 55 Roman" w:hAnsi="HelveticaNeueLT Pro 55 Roman"/>
                <w:b/>
                <w:bCs/>
                <w:sz w:val="20"/>
                <w:szCs w:val="20"/>
              </w:rPr>
              <w:t>Studies of abundance</w:t>
            </w:r>
          </w:p>
        </w:tc>
      </w:tr>
      <w:tr w:rsidR="003F3518" w14:paraId="38E9E210" w14:textId="77777777" w:rsidTr="00E23CC2">
        <w:trPr>
          <w:trHeight w:val="300"/>
        </w:trPr>
        <w:tc>
          <w:tcPr>
            <w:tcW w:w="3261" w:type="dxa"/>
            <w:noWrap/>
            <w:vAlign w:val="center"/>
          </w:tcPr>
          <w:p w14:paraId="76CBB6DF" w14:textId="77777777" w:rsidR="003F3518" w:rsidRPr="0090787C" w:rsidRDefault="003F3518" w:rsidP="006D49DA">
            <w:pPr>
              <w:suppressAutoHyphens/>
              <w:spacing w:before="60" w:after="60" w:line="240" w:lineRule="auto"/>
              <w:rPr>
                <w:rFonts w:ascii="HelveticaNeueLT Pro 55 Roman" w:hAnsi="HelveticaNeueLT Pro 55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noWrap/>
            <w:vAlign w:val="center"/>
          </w:tcPr>
          <w:p w14:paraId="00338C37" w14:textId="77777777" w:rsidR="003F3518" w:rsidRPr="0090787C" w:rsidRDefault="003F3518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hAnsi="HelveticaNeueLT Pro 55 Roman"/>
                <w:sz w:val="18"/>
                <w:szCs w:val="18"/>
              </w:rPr>
            </w:pPr>
            <w:r w:rsidRPr="0090787C">
              <w:rPr>
                <w:rFonts w:ascii="HelveticaNeueLT Pro 55 Roman" w:hAnsi="HelveticaNeueLT Pro 55 Roman"/>
                <w:b/>
                <w:bCs/>
                <w:sz w:val="18"/>
                <w:szCs w:val="18"/>
              </w:rPr>
              <w:t>First year of sampling</w:t>
            </w:r>
          </w:p>
        </w:tc>
        <w:tc>
          <w:tcPr>
            <w:tcW w:w="2268" w:type="dxa"/>
            <w:gridSpan w:val="2"/>
            <w:noWrap/>
            <w:vAlign w:val="center"/>
          </w:tcPr>
          <w:p w14:paraId="5496CF8E" w14:textId="77777777" w:rsidR="003F3518" w:rsidRPr="0090787C" w:rsidRDefault="003F3518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hAnsi="HelveticaNeueLT Pro 55 Roman"/>
                <w:sz w:val="18"/>
                <w:szCs w:val="18"/>
              </w:rPr>
            </w:pPr>
            <w:r w:rsidRPr="0090787C">
              <w:rPr>
                <w:rFonts w:ascii="HelveticaNeueLT Pro 55 Roman" w:hAnsi="HelveticaNeueLT Pro 55 Roman"/>
                <w:b/>
                <w:bCs/>
                <w:sz w:val="18"/>
                <w:szCs w:val="18"/>
              </w:rPr>
              <w:t>Final year of sampling</w:t>
            </w:r>
          </w:p>
        </w:tc>
        <w:tc>
          <w:tcPr>
            <w:tcW w:w="1559" w:type="dxa"/>
            <w:vMerge w:val="restart"/>
            <w:noWrap/>
            <w:vAlign w:val="center"/>
          </w:tcPr>
          <w:p w14:paraId="38A54F8F" w14:textId="77777777" w:rsidR="003F3518" w:rsidRPr="0090787C" w:rsidRDefault="003F3518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hAnsi="HelveticaNeueLT Pro 55 Roman"/>
                <w:sz w:val="18"/>
                <w:szCs w:val="18"/>
              </w:rPr>
            </w:pPr>
            <w:r w:rsidRPr="0090787C">
              <w:rPr>
                <w:rFonts w:ascii="HelveticaNeueLT Pro 55 Roman" w:hAnsi="HelveticaNeueLT Pro 55 Roman"/>
                <w:sz w:val="18"/>
                <w:szCs w:val="18"/>
              </w:rPr>
              <w:t>No. of studies</w:t>
            </w:r>
          </w:p>
        </w:tc>
      </w:tr>
      <w:tr w:rsidR="001E758D" w14:paraId="3CF204B9" w14:textId="77777777" w:rsidTr="00E23CC2">
        <w:trPr>
          <w:trHeight w:val="559"/>
        </w:trPr>
        <w:tc>
          <w:tcPr>
            <w:tcW w:w="3261" w:type="dxa"/>
            <w:noWrap/>
            <w:vAlign w:val="center"/>
            <w:hideMark/>
          </w:tcPr>
          <w:p w14:paraId="7F9253BB" w14:textId="77777777" w:rsidR="003F3518" w:rsidRPr="0090787C" w:rsidRDefault="003F3518" w:rsidP="006D49DA">
            <w:pPr>
              <w:suppressAutoHyphens/>
              <w:spacing w:before="60" w:after="60" w:line="240" w:lineRule="auto"/>
              <w:rPr>
                <w:rFonts w:ascii="HelveticaNeueLT Pro 55 Roman" w:hAnsi="HelveticaNeueLT Pro 55 Roman"/>
                <w:b/>
                <w:sz w:val="18"/>
                <w:szCs w:val="18"/>
              </w:rPr>
            </w:pPr>
            <w:r w:rsidRPr="0090787C">
              <w:rPr>
                <w:rFonts w:ascii="HelveticaNeueLT Pro 55 Roman" w:hAnsi="HelveticaNeueLT Pro 55 Roman"/>
                <w:b/>
                <w:sz w:val="18"/>
                <w:szCs w:val="18"/>
              </w:rPr>
              <w:t>Taxon group</w:t>
            </w:r>
          </w:p>
        </w:tc>
        <w:tc>
          <w:tcPr>
            <w:tcW w:w="1134" w:type="dxa"/>
            <w:noWrap/>
            <w:vAlign w:val="center"/>
          </w:tcPr>
          <w:p w14:paraId="2BA3178F" w14:textId="77777777" w:rsidR="003F3518" w:rsidRPr="0090787C" w:rsidRDefault="003F3518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hAnsi="HelveticaNeueLT Pro 55 Roman"/>
                <w:b/>
                <w:bCs/>
                <w:sz w:val="18"/>
                <w:szCs w:val="18"/>
              </w:rPr>
            </w:pPr>
            <w:r w:rsidRPr="0090787C">
              <w:rPr>
                <w:rFonts w:ascii="HelveticaNeueLT Pro 55 Roman" w:hAnsi="HelveticaNeueLT Pro 55 Roman"/>
                <w:b/>
                <w:bCs/>
                <w:sz w:val="18"/>
                <w:szCs w:val="18"/>
              </w:rPr>
              <w:t>Mean (years)</w:t>
            </w:r>
          </w:p>
        </w:tc>
        <w:tc>
          <w:tcPr>
            <w:tcW w:w="1134" w:type="dxa"/>
            <w:noWrap/>
            <w:vAlign w:val="center"/>
          </w:tcPr>
          <w:p w14:paraId="2ACB8EB6" w14:textId="77777777" w:rsidR="003F3518" w:rsidRPr="0090787C" w:rsidRDefault="003F3518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hAnsi="HelveticaNeueLT Pro 55 Roman"/>
                <w:sz w:val="18"/>
                <w:szCs w:val="18"/>
              </w:rPr>
            </w:pPr>
            <w:r w:rsidRPr="0090787C">
              <w:rPr>
                <w:rFonts w:ascii="HelveticaNeueLT Pro 55 Roman" w:hAnsi="HelveticaNeueLT Pro 55 Roman"/>
                <w:sz w:val="18"/>
                <w:szCs w:val="18"/>
              </w:rPr>
              <w:t>SD</w:t>
            </w:r>
          </w:p>
        </w:tc>
        <w:tc>
          <w:tcPr>
            <w:tcW w:w="1134" w:type="dxa"/>
            <w:noWrap/>
            <w:vAlign w:val="center"/>
          </w:tcPr>
          <w:p w14:paraId="5E2E93B6" w14:textId="77777777" w:rsidR="003F3518" w:rsidRPr="0090787C" w:rsidRDefault="003F3518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hAnsi="HelveticaNeueLT Pro 55 Roman"/>
                <w:b/>
                <w:bCs/>
                <w:sz w:val="18"/>
                <w:szCs w:val="18"/>
              </w:rPr>
            </w:pPr>
            <w:r w:rsidRPr="0090787C">
              <w:rPr>
                <w:rFonts w:ascii="HelveticaNeueLT Pro 55 Roman" w:hAnsi="HelveticaNeueLT Pro 55 Roman"/>
                <w:b/>
                <w:bCs/>
                <w:sz w:val="18"/>
                <w:szCs w:val="18"/>
              </w:rPr>
              <w:t>Mean (years)</w:t>
            </w:r>
          </w:p>
        </w:tc>
        <w:tc>
          <w:tcPr>
            <w:tcW w:w="1134" w:type="dxa"/>
            <w:noWrap/>
            <w:vAlign w:val="center"/>
          </w:tcPr>
          <w:p w14:paraId="3BE5A4C7" w14:textId="77777777" w:rsidR="003F3518" w:rsidRPr="0090787C" w:rsidRDefault="003F3518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hAnsi="HelveticaNeueLT Pro 55 Roman"/>
                <w:sz w:val="18"/>
                <w:szCs w:val="18"/>
              </w:rPr>
            </w:pPr>
            <w:r w:rsidRPr="0090787C">
              <w:rPr>
                <w:rFonts w:ascii="HelveticaNeueLT Pro 55 Roman" w:hAnsi="HelveticaNeueLT Pro 55 Roman"/>
                <w:sz w:val="18"/>
                <w:szCs w:val="18"/>
              </w:rPr>
              <w:t>SD</w:t>
            </w:r>
          </w:p>
        </w:tc>
        <w:tc>
          <w:tcPr>
            <w:tcW w:w="1559" w:type="dxa"/>
            <w:vMerge/>
            <w:noWrap/>
            <w:vAlign w:val="center"/>
          </w:tcPr>
          <w:p w14:paraId="73EF4334" w14:textId="77777777" w:rsidR="003F3518" w:rsidRPr="0090787C" w:rsidRDefault="003F3518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hAnsi="HelveticaNeueLT Pro 55 Roman"/>
                <w:sz w:val="18"/>
                <w:szCs w:val="18"/>
              </w:rPr>
            </w:pPr>
          </w:p>
        </w:tc>
      </w:tr>
      <w:tr w:rsidR="001E758D" w14:paraId="04B2A7E1" w14:textId="77777777" w:rsidTr="00E23CC2">
        <w:trPr>
          <w:trHeight w:val="300"/>
        </w:trPr>
        <w:tc>
          <w:tcPr>
            <w:tcW w:w="3261" w:type="dxa"/>
            <w:noWrap/>
            <w:vAlign w:val="center"/>
            <w:hideMark/>
          </w:tcPr>
          <w:p w14:paraId="2BABF72A" w14:textId="77777777" w:rsidR="003F3518" w:rsidRPr="0090787C" w:rsidRDefault="003F3518" w:rsidP="006D49DA">
            <w:pPr>
              <w:suppressAutoHyphens/>
              <w:spacing w:before="60" w:after="60" w:line="240" w:lineRule="auto"/>
              <w:rPr>
                <w:rFonts w:ascii="HelveticaNeueLT Pro 55 Roman" w:hAnsi="HelveticaNeueLT Pro 55 Roman"/>
                <w:sz w:val="18"/>
                <w:szCs w:val="18"/>
              </w:rPr>
            </w:pPr>
            <w:r w:rsidRPr="0090787C">
              <w:rPr>
                <w:rFonts w:ascii="HelveticaNeueLT Pro 55 Roman" w:hAnsi="HelveticaNeueLT Pro 55 Roman"/>
                <w:sz w:val="18"/>
                <w:szCs w:val="18"/>
              </w:rPr>
              <w:t>Saproxylic insects</w:t>
            </w:r>
          </w:p>
        </w:tc>
        <w:tc>
          <w:tcPr>
            <w:tcW w:w="1134" w:type="dxa"/>
            <w:noWrap/>
            <w:vAlign w:val="center"/>
          </w:tcPr>
          <w:p w14:paraId="7F35C472" w14:textId="77777777" w:rsidR="003F3518" w:rsidRPr="0090787C" w:rsidRDefault="003F3518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hAnsi="HelveticaNeueLT Pro 55 Roman"/>
                <w:b/>
                <w:bCs/>
                <w:sz w:val="18"/>
                <w:szCs w:val="18"/>
              </w:rPr>
            </w:pPr>
            <w:r w:rsidRPr="0090787C">
              <w:rPr>
                <w:rFonts w:ascii="HelveticaNeueLT Pro 55 Roman" w:hAnsi="HelveticaNeueLT Pro 55 Roman"/>
                <w:b/>
                <w:bCs/>
                <w:sz w:val="18"/>
                <w:szCs w:val="18"/>
              </w:rPr>
              <w:t>1.05</w:t>
            </w:r>
          </w:p>
        </w:tc>
        <w:tc>
          <w:tcPr>
            <w:tcW w:w="1134" w:type="dxa"/>
            <w:noWrap/>
            <w:vAlign w:val="center"/>
          </w:tcPr>
          <w:p w14:paraId="4CBE407A" w14:textId="77777777" w:rsidR="003F3518" w:rsidRPr="0090787C" w:rsidRDefault="003F3518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hAnsi="HelveticaNeueLT Pro 55 Roman"/>
                <w:sz w:val="18"/>
                <w:szCs w:val="18"/>
              </w:rPr>
            </w:pPr>
            <w:r w:rsidRPr="0090787C">
              <w:rPr>
                <w:rFonts w:ascii="HelveticaNeueLT Pro 55 Roman" w:hAnsi="HelveticaNeueLT Pro 55 Roman"/>
                <w:sz w:val="18"/>
                <w:szCs w:val="18"/>
              </w:rPr>
              <w:t>0.64</w:t>
            </w:r>
          </w:p>
        </w:tc>
        <w:tc>
          <w:tcPr>
            <w:tcW w:w="1134" w:type="dxa"/>
            <w:noWrap/>
            <w:vAlign w:val="center"/>
          </w:tcPr>
          <w:p w14:paraId="39BC53EC" w14:textId="77777777" w:rsidR="003F3518" w:rsidRPr="0090787C" w:rsidRDefault="003F3518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hAnsi="HelveticaNeueLT Pro 55 Roman"/>
                <w:b/>
                <w:bCs/>
                <w:sz w:val="18"/>
                <w:szCs w:val="18"/>
              </w:rPr>
            </w:pPr>
            <w:r w:rsidRPr="0090787C">
              <w:rPr>
                <w:rFonts w:ascii="HelveticaNeueLT Pro 55 Roman" w:hAnsi="HelveticaNeueLT Pro 55 Roman"/>
                <w:b/>
                <w:bCs/>
                <w:sz w:val="18"/>
                <w:szCs w:val="18"/>
              </w:rPr>
              <w:t>1.83</w:t>
            </w:r>
          </w:p>
        </w:tc>
        <w:tc>
          <w:tcPr>
            <w:tcW w:w="1134" w:type="dxa"/>
            <w:noWrap/>
            <w:vAlign w:val="center"/>
          </w:tcPr>
          <w:p w14:paraId="08EC6924" w14:textId="77777777" w:rsidR="003F3518" w:rsidRPr="0090787C" w:rsidRDefault="003F3518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hAnsi="HelveticaNeueLT Pro 55 Roman"/>
                <w:sz w:val="18"/>
                <w:szCs w:val="18"/>
              </w:rPr>
            </w:pPr>
            <w:r w:rsidRPr="0090787C">
              <w:rPr>
                <w:rFonts w:ascii="HelveticaNeueLT Pro 55 Roman" w:hAnsi="HelveticaNeueLT Pro 55 Roman"/>
                <w:sz w:val="18"/>
                <w:szCs w:val="18"/>
              </w:rPr>
              <w:t>1.29</w:t>
            </w:r>
          </w:p>
        </w:tc>
        <w:tc>
          <w:tcPr>
            <w:tcW w:w="1559" w:type="dxa"/>
            <w:noWrap/>
            <w:vAlign w:val="center"/>
          </w:tcPr>
          <w:p w14:paraId="708A4CD6" w14:textId="77777777" w:rsidR="003F3518" w:rsidRPr="0090787C" w:rsidRDefault="003F3518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hAnsi="HelveticaNeueLT Pro 55 Roman"/>
                <w:sz w:val="18"/>
                <w:szCs w:val="18"/>
              </w:rPr>
            </w:pPr>
            <w:r w:rsidRPr="0090787C">
              <w:rPr>
                <w:rFonts w:ascii="HelveticaNeueLT Pro 55 Roman" w:hAnsi="HelveticaNeueLT Pro 55 Roman"/>
                <w:sz w:val="18"/>
                <w:szCs w:val="18"/>
              </w:rPr>
              <w:t>47</w:t>
            </w:r>
          </w:p>
        </w:tc>
      </w:tr>
      <w:tr w:rsidR="001E758D" w14:paraId="5179E9CB" w14:textId="77777777" w:rsidTr="00E23CC2">
        <w:trPr>
          <w:trHeight w:val="300"/>
        </w:trPr>
        <w:tc>
          <w:tcPr>
            <w:tcW w:w="3261" w:type="dxa"/>
            <w:noWrap/>
            <w:vAlign w:val="center"/>
          </w:tcPr>
          <w:p w14:paraId="54DF1936" w14:textId="77777777" w:rsidR="003F3518" w:rsidRPr="0090787C" w:rsidRDefault="003F3518" w:rsidP="006D49DA">
            <w:pPr>
              <w:suppressAutoHyphens/>
              <w:spacing w:before="60" w:after="60" w:line="240" w:lineRule="auto"/>
              <w:rPr>
                <w:rFonts w:ascii="HelveticaNeueLT Pro 55 Roman" w:hAnsi="HelveticaNeueLT Pro 55 Roman"/>
                <w:sz w:val="18"/>
                <w:szCs w:val="18"/>
              </w:rPr>
            </w:pPr>
            <w:r w:rsidRPr="0090787C">
              <w:rPr>
                <w:rFonts w:ascii="HelveticaNeueLT Pro 55 Roman" w:hAnsi="HelveticaNeueLT Pro 55 Roman"/>
                <w:sz w:val="18"/>
                <w:szCs w:val="18"/>
              </w:rPr>
              <w:t>Saproxylic pest insects</w:t>
            </w:r>
          </w:p>
        </w:tc>
        <w:tc>
          <w:tcPr>
            <w:tcW w:w="1134" w:type="dxa"/>
            <w:noWrap/>
            <w:vAlign w:val="center"/>
          </w:tcPr>
          <w:p w14:paraId="0DD7087C" w14:textId="77777777" w:rsidR="003F3518" w:rsidRPr="0090787C" w:rsidRDefault="003F3518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hAnsi="HelveticaNeueLT Pro 55 Roman"/>
                <w:b/>
                <w:bCs/>
                <w:sz w:val="18"/>
                <w:szCs w:val="18"/>
              </w:rPr>
            </w:pPr>
            <w:r w:rsidRPr="0090787C">
              <w:rPr>
                <w:rFonts w:ascii="HelveticaNeueLT Pro 55 Roman" w:hAnsi="HelveticaNeueLT Pro 55 Roman"/>
                <w:b/>
                <w:bCs/>
                <w:sz w:val="18"/>
                <w:szCs w:val="18"/>
              </w:rPr>
              <w:t>1.49</w:t>
            </w:r>
          </w:p>
        </w:tc>
        <w:tc>
          <w:tcPr>
            <w:tcW w:w="1134" w:type="dxa"/>
            <w:noWrap/>
            <w:vAlign w:val="center"/>
          </w:tcPr>
          <w:p w14:paraId="0D6D24B0" w14:textId="77777777" w:rsidR="003F3518" w:rsidRPr="0090787C" w:rsidRDefault="003F3518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hAnsi="HelveticaNeueLT Pro 55 Roman"/>
                <w:sz w:val="18"/>
                <w:szCs w:val="18"/>
              </w:rPr>
            </w:pPr>
            <w:r w:rsidRPr="0090787C">
              <w:rPr>
                <w:rFonts w:ascii="HelveticaNeueLT Pro 55 Roman" w:hAnsi="HelveticaNeueLT Pro 55 Roman"/>
                <w:sz w:val="18"/>
                <w:szCs w:val="18"/>
              </w:rPr>
              <w:t>0.94</w:t>
            </w:r>
          </w:p>
        </w:tc>
        <w:tc>
          <w:tcPr>
            <w:tcW w:w="1134" w:type="dxa"/>
            <w:noWrap/>
            <w:vAlign w:val="center"/>
          </w:tcPr>
          <w:p w14:paraId="2F252AC9" w14:textId="77777777" w:rsidR="003F3518" w:rsidRPr="0090787C" w:rsidRDefault="003F3518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hAnsi="HelveticaNeueLT Pro 55 Roman"/>
                <w:b/>
                <w:bCs/>
                <w:sz w:val="18"/>
                <w:szCs w:val="18"/>
              </w:rPr>
            </w:pPr>
            <w:r w:rsidRPr="0090787C">
              <w:rPr>
                <w:rFonts w:ascii="HelveticaNeueLT Pro 55 Roman" w:hAnsi="HelveticaNeueLT Pro 55 Roman"/>
                <w:b/>
                <w:bCs/>
                <w:sz w:val="18"/>
                <w:szCs w:val="18"/>
              </w:rPr>
              <w:t>1.67</w:t>
            </w:r>
          </w:p>
        </w:tc>
        <w:tc>
          <w:tcPr>
            <w:tcW w:w="1134" w:type="dxa"/>
            <w:noWrap/>
            <w:vAlign w:val="center"/>
          </w:tcPr>
          <w:p w14:paraId="3FE7395C" w14:textId="77777777" w:rsidR="003F3518" w:rsidRPr="0090787C" w:rsidRDefault="003F3518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hAnsi="HelveticaNeueLT Pro 55 Roman"/>
                <w:sz w:val="18"/>
                <w:szCs w:val="18"/>
              </w:rPr>
            </w:pPr>
            <w:r w:rsidRPr="0090787C">
              <w:rPr>
                <w:rFonts w:ascii="HelveticaNeueLT Pro 55 Roman" w:hAnsi="HelveticaNeueLT Pro 55 Roman"/>
                <w:sz w:val="18"/>
                <w:szCs w:val="18"/>
              </w:rPr>
              <w:t>0.96</w:t>
            </w:r>
          </w:p>
        </w:tc>
        <w:tc>
          <w:tcPr>
            <w:tcW w:w="1559" w:type="dxa"/>
            <w:noWrap/>
            <w:vAlign w:val="center"/>
          </w:tcPr>
          <w:p w14:paraId="24905E2F" w14:textId="77777777" w:rsidR="003F3518" w:rsidRPr="0090787C" w:rsidRDefault="003F3518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hAnsi="HelveticaNeueLT Pro 55 Roman"/>
                <w:sz w:val="18"/>
                <w:szCs w:val="18"/>
              </w:rPr>
            </w:pPr>
            <w:r w:rsidRPr="0090787C">
              <w:rPr>
                <w:rFonts w:ascii="HelveticaNeueLT Pro 55 Roman" w:hAnsi="HelveticaNeueLT Pro 55 Roman"/>
                <w:sz w:val="18"/>
                <w:szCs w:val="18"/>
              </w:rPr>
              <w:t>14</w:t>
            </w:r>
          </w:p>
        </w:tc>
      </w:tr>
      <w:tr w:rsidR="001E758D" w14:paraId="0840B898" w14:textId="77777777" w:rsidTr="00E23CC2">
        <w:trPr>
          <w:trHeight w:val="300"/>
        </w:trPr>
        <w:tc>
          <w:tcPr>
            <w:tcW w:w="3261" w:type="dxa"/>
            <w:noWrap/>
            <w:vAlign w:val="center"/>
          </w:tcPr>
          <w:p w14:paraId="4D0AFDD7" w14:textId="77777777" w:rsidR="003F3518" w:rsidRPr="0090787C" w:rsidRDefault="003F3518" w:rsidP="006D49DA">
            <w:pPr>
              <w:suppressAutoHyphens/>
              <w:spacing w:before="60" w:after="60" w:line="240" w:lineRule="auto"/>
              <w:rPr>
                <w:rFonts w:ascii="HelveticaNeueLT Pro 55 Roman" w:hAnsi="HelveticaNeueLT Pro 55 Roman"/>
                <w:sz w:val="18"/>
                <w:szCs w:val="18"/>
              </w:rPr>
            </w:pPr>
            <w:r w:rsidRPr="0090787C">
              <w:rPr>
                <w:rFonts w:ascii="HelveticaNeueLT Pro 55 Roman" w:hAnsi="HelveticaNeueLT Pro 55 Roman"/>
                <w:sz w:val="18"/>
                <w:szCs w:val="18"/>
              </w:rPr>
              <w:t>Rare saproxylic insects</w:t>
            </w:r>
          </w:p>
        </w:tc>
        <w:tc>
          <w:tcPr>
            <w:tcW w:w="1134" w:type="dxa"/>
            <w:noWrap/>
            <w:vAlign w:val="center"/>
          </w:tcPr>
          <w:p w14:paraId="39B90CEE" w14:textId="77777777" w:rsidR="003F3518" w:rsidRPr="0090787C" w:rsidRDefault="003F3518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hAnsi="HelveticaNeueLT Pro 55 Roman"/>
                <w:b/>
                <w:bCs/>
                <w:sz w:val="18"/>
                <w:szCs w:val="18"/>
              </w:rPr>
            </w:pPr>
            <w:r w:rsidRPr="0090787C">
              <w:rPr>
                <w:rFonts w:ascii="HelveticaNeueLT Pro 55 Roman" w:hAnsi="HelveticaNeueLT Pro 55 Roman"/>
                <w:b/>
                <w:bCs/>
                <w:sz w:val="18"/>
                <w:szCs w:val="18"/>
              </w:rPr>
              <w:t>0.80</w:t>
            </w:r>
          </w:p>
        </w:tc>
        <w:tc>
          <w:tcPr>
            <w:tcW w:w="1134" w:type="dxa"/>
            <w:noWrap/>
            <w:vAlign w:val="center"/>
          </w:tcPr>
          <w:p w14:paraId="0B31C88D" w14:textId="77777777" w:rsidR="003F3518" w:rsidRPr="0090787C" w:rsidRDefault="003F3518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hAnsi="HelveticaNeueLT Pro 55 Roman"/>
                <w:sz w:val="18"/>
                <w:szCs w:val="18"/>
              </w:rPr>
            </w:pPr>
            <w:r w:rsidRPr="0090787C">
              <w:rPr>
                <w:rFonts w:ascii="HelveticaNeueLT Pro 55 Roman" w:hAnsi="HelveticaNeueLT Pro 55 Roman"/>
                <w:sz w:val="18"/>
                <w:szCs w:val="18"/>
              </w:rPr>
              <w:t>0.30</w:t>
            </w:r>
          </w:p>
        </w:tc>
        <w:tc>
          <w:tcPr>
            <w:tcW w:w="1134" w:type="dxa"/>
            <w:noWrap/>
            <w:vAlign w:val="center"/>
          </w:tcPr>
          <w:p w14:paraId="0FE784A5" w14:textId="77777777" w:rsidR="003F3518" w:rsidRPr="0090787C" w:rsidRDefault="003F3518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hAnsi="HelveticaNeueLT Pro 55 Roman"/>
                <w:b/>
                <w:bCs/>
                <w:sz w:val="18"/>
                <w:szCs w:val="18"/>
              </w:rPr>
            </w:pPr>
            <w:r w:rsidRPr="0090787C">
              <w:rPr>
                <w:rFonts w:ascii="HelveticaNeueLT Pro 55 Roman" w:hAnsi="HelveticaNeueLT Pro 55 Roman"/>
                <w:b/>
                <w:bCs/>
                <w:sz w:val="18"/>
                <w:szCs w:val="18"/>
              </w:rPr>
              <w:t>1.89</w:t>
            </w:r>
          </w:p>
        </w:tc>
        <w:tc>
          <w:tcPr>
            <w:tcW w:w="1134" w:type="dxa"/>
            <w:noWrap/>
            <w:vAlign w:val="center"/>
          </w:tcPr>
          <w:p w14:paraId="3FD862FE" w14:textId="77777777" w:rsidR="003F3518" w:rsidRPr="0090787C" w:rsidRDefault="003F3518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hAnsi="HelveticaNeueLT Pro 55 Roman"/>
                <w:sz w:val="18"/>
                <w:szCs w:val="18"/>
              </w:rPr>
            </w:pPr>
            <w:r w:rsidRPr="0090787C">
              <w:rPr>
                <w:rFonts w:ascii="HelveticaNeueLT Pro 55 Roman" w:hAnsi="HelveticaNeueLT Pro 55 Roman"/>
                <w:sz w:val="18"/>
                <w:szCs w:val="18"/>
              </w:rPr>
              <w:t>1.76</w:t>
            </w:r>
          </w:p>
        </w:tc>
        <w:tc>
          <w:tcPr>
            <w:tcW w:w="1559" w:type="dxa"/>
            <w:noWrap/>
            <w:vAlign w:val="center"/>
          </w:tcPr>
          <w:p w14:paraId="6B5A74D3" w14:textId="77777777" w:rsidR="003F3518" w:rsidRPr="0090787C" w:rsidRDefault="003F3518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hAnsi="HelveticaNeueLT Pro 55 Roman"/>
                <w:sz w:val="18"/>
                <w:szCs w:val="18"/>
              </w:rPr>
            </w:pPr>
            <w:r w:rsidRPr="0090787C">
              <w:rPr>
                <w:rFonts w:ascii="HelveticaNeueLT Pro 55 Roman" w:hAnsi="HelveticaNeueLT Pro 55 Roman"/>
                <w:sz w:val="18"/>
                <w:szCs w:val="18"/>
              </w:rPr>
              <w:t>9</w:t>
            </w:r>
          </w:p>
        </w:tc>
      </w:tr>
      <w:tr w:rsidR="001E758D" w14:paraId="4EA7B45D" w14:textId="77777777" w:rsidTr="00E23CC2">
        <w:trPr>
          <w:trHeight w:val="300"/>
        </w:trPr>
        <w:tc>
          <w:tcPr>
            <w:tcW w:w="3261" w:type="dxa"/>
            <w:noWrap/>
            <w:vAlign w:val="center"/>
          </w:tcPr>
          <w:p w14:paraId="35F64F19" w14:textId="77777777" w:rsidR="003F3518" w:rsidRPr="0090787C" w:rsidRDefault="003F3518" w:rsidP="006D49DA">
            <w:pPr>
              <w:suppressAutoHyphens/>
              <w:spacing w:before="60" w:after="60" w:line="240" w:lineRule="auto"/>
              <w:rPr>
                <w:rFonts w:ascii="HelveticaNeueLT Pro 55 Roman" w:hAnsi="HelveticaNeueLT Pro 55 Roman"/>
                <w:sz w:val="18"/>
                <w:szCs w:val="18"/>
              </w:rPr>
            </w:pPr>
            <w:r w:rsidRPr="0090787C">
              <w:rPr>
                <w:rFonts w:ascii="HelveticaNeueLT Pro 55 Roman" w:hAnsi="HelveticaNeueLT Pro 55 Roman"/>
                <w:sz w:val="18"/>
                <w:szCs w:val="18"/>
              </w:rPr>
              <w:t>Beetles (unspecified)</w:t>
            </w:r>
          </w:p>
        </w:tc>
        <w:tc>
          <w:tcPr>
            <w:tcW w:w="1134" w:type="dxa"/>
            <w:noWrap/>
            <w:vAlign w:val="center"/>
          </w:tcPr>
          <w:p w14:paraId="45454E8B" w14:textId="77777777" w:rsidR="003F3518" w:rsidRPr="0090787C" w:rsidRDefault="003F3518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hAnsi="HelveticaNeueLT Pro 55 Roman"/>
                <w:b/>
                <w:bCs/>
                <w:sz w:val="18"/>
                <w:szCs w:val="18"/>
              </w:rPr>
            </w:pPr>
            <w:r w:rsidRPr="0090787C">
              <w:rPr>
                <w:rFonts w:ascii="HelveticaNeueLT Pro 55 Roman" w:hAnsi="HelveticaNeueLT Pro 55 Roman"/>
                <w:b/>
                <w:bCs/>
                <w:sz w:val="18"/>
                <w:szCs w:val="18"/>
              </w:rPr>
              <w:t>0.90</w:t>
            </w:r>
          </w:p>
        </w:tc>
        <w:tc>
          <w:tcPr>
            <w:tcW w:w="1134" w:type="dxa"/>
            <w:noWrap/>
            <w:vAlign w:val="center"/>
          </w:tcPr>
          <w:p w14:paraId="0EE309E2" w14:textId="77777777" w:rsidR="003F3518" w:rsidRPr="0090787C" w:rsidRDefault="003F3518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hAnsi="HelveticaNeueLT Pro 55 Roman"/>
                <w:sz w:val="18"/>
                <w:szCs w:val="18"/>
              </w:rPr>
            </w:pPr>
            <w:r w:rsidRPr="0090787C">
              <w:rPr>
                <w:rFonts w:ascii="HelveticaNeueLT Pro 55 Roman" w:hAnsi="HelveticaNeueLT Pro 55 Roman"/>
                <w:sz w:val="18"/>
                <w:szCs w:val="18"/>
              </w:rPr>
              <w:t>0.95</w:t>
            </w:r>
          </w:p>
        </w:tc>
        <w:tc>
          <w:tcPr>
            <w:tcW w:w="1134" w:type="dxa"/>
            <w:noWrap/>
            <w:vAlign w:val="center"/>
          </w:tcPr>
          <w:p w14:paraId="36FEDF58" w14:textId="77777777" w:rsidR="003F3518" w:rsidRPr="0090787C" w:rsidRDefault="003F3518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hAnsi="HelveticaNeueLT Pro 55 Roman"/>
                <w:b/>
                <w:bCs/>
                <w:sz w:val="18"/>
                <w:szCs w:val="18"/>
              </w:rPr>
            </w:pPr>
            <w:r w:rsidRPr="0090787C">
              <w:rPr>
                <w:rFonts w:ascii="HelveticaNeueLT Pro 55 Roman" w:hAnsi="HelveticaNeueLT Pro 55 Roman"/>
                <w:b/>
                <w:bCs/>
                <w:sz w:val="18"/>
                <w:szCs w:val="18"/>
              </w:rPr>
              <w:t>1.47</w:t>
            </w:r>
          </w:p>
        </w:tc>
        <w:tc>
          <w:tcPr>
            <w:tcW w:w="1134" w:type="dxa"/>
            <w:noWrap/>
            <w:vAlign w:val="center"/>
          </w:tcPr>
          <w:p w14:paraId="6ACB0E4E" w14:textId="77777777" w:rsidR="003F3518" w:rsidRPr="0090787C" w:rsidRDefault="003F3518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hAnsi="HelveticaNeueLT Pro 55 Roman"/>
                <w:sz w:val="18"/>
                <w:szCs w:val="18"/>
              </w:rPr>
            </w:pPr>
            <w:r w:rsidRPr="0090787C">
              <w:rPr>
                <w:rFonts w:ascii="HelveticaNeueLT Pro 55 Roman" w:hAnsi="HelveticaNeueLT Pro 55 Roman"/>
                <w:sz w:val="18"/>
                <w:szCs w:val="18"/>
              </w:rPr>
              <w:t>0.92</w:t>
            </w:r>
          </w:p>
        </w:tc>
        <w:tc>
          <w:tcPr>
            <w:tcW w:w="1559" w:type="dxa"/>
            <w:noWrap/>
            <w:vAlign w:val="center"/>
          </w:tcPr>
          <w:p w14:paraId="0AF0B04A" w14:textId="77777777" w:rsidR="003F3518" w:rsidRPr="0090787C" w:rsidRDefault="003F3518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hAnsi="HelveticaNeueLT Pro 55 Roman"/>
                <w:sz w:val="18"/>
                <w:szCs w:val="18"/>
              </w:rPr>
            </w:pPr>
            <w:r w:rsidRPr="0090787C">
              <w:rPr>
                <w:rFonts w:ascii="HelveticaNeueLT Pro 55 Roman" w:hAnsi="HelveticaNeueLT Pro 55 Roman"/>
                <w:sz w:val="18"/>
                <w:szCs w:val="18"/>
              </w:rPr>
              <w:t>3</w:t>
            </w:r>
          </w:p>
        </w:tc>
      </w:tr>
      <w:tr w:rsidR="001E758D" w14:paraId="054ED11C" w14:textId="77777777" w:rsidTr="00E23CC2">
        <w:trPr>
          <w:trHeight w:val="300"/>
        </w:trPr>
        <w:tc>
          <w:tcPr>
            <w:tcW w:w="3261" w:type="dxa"/>
            <w:noWrap/>
            <w:vAlign w:val="center"/>
            <w:hideMark/>
          </w:tcPr>
          <w:p w14:paraId="12BF3771" w14:textId="77777777" w:rsidR="003F3518" w:rsidRPr="0090787C" w:rsidRDefault="003F3518" w:rsidP="006D49DA">
            <w:pPr>
              <w:suppressAutoHyphens/>
              <w:spacing w:before="60" w:after="60" w:line="240" w:lineRule="auto"/>
              <w:rPr>
                <w:rFonts w:ascii="HelveticaNeueLT Pro 55 Roman" w:hAnsi="HelveticaNeueLT Pro 55 Roman"/>
                <w:sz w:val="18"/>
                <w:szCs w:val="18"/>
              </w:rPr>
            </w:pPr>
            <w:r w:rsidRPr="0090787C">
              <w:rPr>
                <w:rFonts w:ascii="HelveticaNeueLT Pro 55 Roman" w:hAnsi="HelveticaNeueLT Pro 55 Roman"/>
                <w:sz w:val="18"/>
                <w:szCs w:val="18"/>
              </w:rPr>
              <w:t>Ground insects</w:t>
            </w:r>
          </w:p>
        </w:tc>
        <w:tc>
          <w:tcPr>
            <w:tcW w:w="1134" w:type="dxa"/>
            <w:noWrap/>
            <w:vAlign w:val="center"/>
          </w:tcPr>
          <w:p w14:paraId="4CBEB3DB" w14:textId="77777777" w:rsidR="003F3518" w:rsidRPr="0090787C" w:rsidRDefault="003F3518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hAnsi="HelveticaNeueLT Pro 55 Roman"/>
                <w:b/>
                <w:bCs/>
                <w:sz w:val="18"/>
                <w:szCs w:val="18"/>
              </w:rPr>
            </w:pPr>
            <w:r w:rsidRPr="0090787C">
              <w:rPr>
                <w:rFonts w:ascii="HelveticaNeueLT Pro 55 Roman" w:hAnsi="HelveticaNeueLT Pro 55 Roman"/>
                <w:b/>
                <w:bCs/>
                <w:sz w:val="18"/>
                <w:szCs w:val="18"/>
              </w:rPr>
              <w:t>3.33</w:t>
            </w:r>
          </w:p>
        </w:tc>
        <w:tc>
          <w:tcPr>
            <w:tcW w:w="1134" w:type="dxa"/>
            <w:noWrap/>
            <w:vAlign w:val="center"/>
          </w:tcPr>
          <w:p w14:paraId="4B06AF2D" w14:textId="77777777" w:rsidR="003F3518" w:rsidRPr="0090787C" w:rsidRDefault="003F3518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hAnsi="HelveticaNeueLT Pro 55 Roman"/>
                <w:sz w:val="18"/>
                <w:szCs w:val="18"/>
              </w:rPr>
            </w:pPr>
            <w:r w:rsidRPr="0090787C">
              <w:rPr>
                <w:rFonts w:ascii="HelveticaNeueLT Pro 55 Roman" w:hAnsi="HelveticaNeueLT Pro 55 Roman"/>
                <w:sz w:val="18"/>
                <w:szCs w:val="18"/>
              </w:rPr>
              <w:t>2.88</w:t>
            </w:r>
          </w:p>
        </w:tc>
        <w:tc>
          <w:tcPr>
            <w:tcW w:w="1134" w:type="dxa"/>
            <w:noWrap/>
            <w:vAlign w:val="center"/>
          </w:tcPr>
          <w:p w14:paraId="5A7B2A49" w14:textId="77777777" w:rsidR="003F3518" w:rsidRPr="0090787C" w:rsidRDefault="003F3518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hAnsi="HelveticaNeueLT Pro 55 Roman"/>
                <w:b/>
                <w:bCs/>
                <w:sz w:val="18"/>
                <w:szCs w:val="18"/>
              </w:rPr>
            </w:pPr>
            <w:r w:rsidRPr="0090787C">
              <w:rPr>
                <w:rFonts w:ascii="HelveticaNeueLT Pro 55 Roman" w:hAnsi="HelveticaNeueLT Pro 55 Roman"/>
                <w:b/>
                <w:bCs/>
                <w:sz w:val="18"/>
                <w:szCs w:val="18"/>
              </w:rPr>
              <w:t>4.00</w:t>
            </w:r>
          </w:p>
        </w:tc>
        <w:tc>
          <w:tcPr>
            <w:tcW w:w="1134" w:type="dxa"/>
            <w:noWrap/>
            <w:vAlign w:val="center"/>
          </w:tcPr>
          <w:p w14:paraId="421223A9" w14:textId="77777777" w:rsidR="003F3518" w:rsidRPr="0090787C" w:rsidRDefault="003F3518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hAnsi="HelveticaNeueLT Pro 55 Roman"/>
                <w:sz w:val="18"/>
                <w:szCs w:val="18"/>
              </w:rPr>
            </w:pPr>
            <w:r w:rsidRPr="0090787C">
              <w:rPr>
                <w:rFonts w:ascii="HelveticaNeueLT Pro 55 Roman" w:hAnsi="HelveticaNeueLT Pro 55 Roman"/>
                <w:sz w:val="18"/>
                <w:szCs w:val="18"/>
              </w:rPr>
              <w:t>2.37</w:t>
            </w:r>
          </w:p>
        </w:tc>
        <w:tc>
          <w:tcPr>
            <w:tcW w:w="1559" w:type="dxa"/>
            <w:noWrap/>
            <w:vAlign w:val="center"/>
          </w:tcPr>
          <w:p w14:paraId="4CEEEEDF" w14:textId="77777777" w:rsidR="003F3518" w:rsidRPr="0090787C" w:rsidRDefault="003F3518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hAnsi="HelveticaNeueLT Pro 55 Roman"/>
                <w:sz w:val="18"/>
                <w:szCs w:val="18"/>
              </w:rPr>
            </w:pPr>
            <w:r w:rsidRPr="0090787C">
              <w:rPr>
                <w:rFonts w:ascii="HelveticaNeueLT Pro 55 Roman" w:hAnsi="HelveticaNeueLT Pro 55 Roman"/>
                <w:sz w:val="18"/>
                <w:szCs w:val="18"/>
              </w:rPr>
              <w:t>6</w:t>
            </w:r>
          </w:p>
        </w:tc>
      </w:tr>
      <w:tr w:rsidR="001E758D" w14:paraId="013E659B" w14:textId="77777777" w:rsidTr="00E23CC2">
        <w:trPr>
          <w:trHeight w:val="300"/>
        </w:trPr>
        <w:tc>
          <w:tcPr>
            <w:tcW w:w="3261" w:type="dxa"/>
            <w:noWrap/>
            <w:vAlign w:val="center"/>
            <w:hideMark/>
          </w:tcPr>
          <w:p w14:paraId="3BB8C875" w14:textId="77777777" w:rsidR="003F3518" w:rsidRPr="0090787C" w:rsidRDefault="003F3518" w:rsidP="006D49DA">
            <w:pPr>
              <w:suppressAutoHyphens/>
              <w:spacing w:before="60" w:after="60" w:line="240" w:lineRule="auto"/>
              <w:rPr>
                <w:rFonts w:ascii="HelveticaNeueLT Pro 55 Roman" w:hAnsi="HelveticaNeueLT Pro 55 Roman"/>
                <w:sz w:val="18"/>
                <w:szCs w:val="18"/>
              </w:rPr>
            </w:pPr>
            <w:r w:rsidRPr="0090787C">
              <w:rPr>
                <w:rFonts w:ascii="HelveticaNeueLT Pro 55 Roman" w:hAnsi="HelveticaNeueLT Pro 55 Roman"/>
                <w:sz w:val="18"/>
                <w:szCs w:val="18"/>
              </w:rPr>
              <w:t>Fungi</w:t>
            </w:r>
          </w:p>
        </w:tc>
        <w:tc>
          <w:tcPr>
            <w:tcW w:w="1134" w:type="dxa"/>
            <w:noWrap/>
            <w:vAlign w:val="center"/>
          </w:tcPr>
          <w:p w14:paraId="3AEF0D91" w14:textId="77777777" w:rsidR="003F3518" w:rsidRPr="0090787C" w:rsidRDefault="003F3518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hAnsi="HelveticaNeueLT Pro 55 Roman"/>
                <w:b/>
                <w:bCs/>
                <w:sz w:val="18"/>
                <w:szCs w:val="18"/>
              </w:rPr>
            </w:pPr>
            <w:r w:rsidRPr="0090787C">
              <w:rPr>
                <w:rFonts w:ascii="HelveticaNeueLT Pro 55 Roman" w:hAnsi="HelveticaNeueLT Pro 55 Roman"/>
                <w:b/>
                <w:bCs/>
                <w:sz w:val="18"/>
                <w:szCs w:val="18"/>
              </w:rPr>
              <w:t>1.68</w:t>
            </w:r>
          </w:p>
        </w:tc>
        <w:tc>
          <w:tcPr>
            <w:tcW w:w="1134" w:type="dxa"/>
            <w:noWrap/>
            <w:vAlign w:val="center"/>
          </w:tcPr>
          <w:p w14:paraId="7FE83E13" w14:textId="77777777" w:rsidR="003F3518" w:rsidRPr="0090787C" w:rsidRDefault="003F3518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hAnsi="HelveticaNeueLT Pro 55 Roman"/>
                <w:sz w:val="18"/>
                <w:szCs w:val="18"/>
              </w:rPr>
            </w:pPr>
            <w:r w:rsidRPr="0090787C">
              <w:rPr>
                <w:rFonts w:ascii="HelveticaNeueLT Pro 55 Roman" w:hAnsi="HelveticaNeueLT Pro 55 Roman"/>
                <w:sz w:val="18"/>
                <w:szCs w:val="18"/>
              </w:rPr>
              <w:t>1.87</w:t>
            </w:r>
          </w:p>
        </w:tc>
        <w:tc>
          <w:tcPr>
            <w:tcW w:w="1134" w:type="dxa"/>
            <w:noWrap/>
            <w:vAlign w:val="center"/>
          </w:tcPr>
          <w:p w14:paraId="0BA26D45" w14:textId="77777777" w:rsidR="003F3518" w:rsidRPr="0090787C" w:rsidRDefault="003F3518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hAnsi="HelveticaNeueLT Pro 55 Roman"/>
                <w:b/>
                <w:bCs/>
                <w:sz w:val="18"/>
                <w:szCs w:val="18"/>
              </w:rPr>
            </w:pPr>
            <w:r w:rsidRPr="0090787C">
              <w:rPr>
                <w:rFonts w:ascii="HelveticaNeueLT Pro 55 Roman" w:hAnsi="HelveticaNeueLT Pro 55 Roman"/>
                <w:b/>
                <w:bCs/>
                <w:sz w:val="18"/>
                <w:szCs w:val="18"/>
              </w:rPr>
              <w:t>7.00</w:t>
            </w:r>
          </w:p>
        </w:tc>
        <w:tc>
          <w:tcPr>
            <w:tcW w:w="1134" w:type="dxa"/>
            <w:noWrap/>
            <w:vAlign w:val="center"/>
          </w:tcPr>
          <w:p w14:paraId="7146A809" w14:textId="77777777" w:rsidR="003F3518" w:rsidRPr="0090787C" w:rsidRDefault="003F3518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hAnsi="HelveticaNeueLT Pro 55 Roman"/>
                <w:sz w:val="18"/>
                <w:szCs w:val="18"/>
              </w:rPr>
            </w:pPr>
            <w:r w:rsidRPr="0090787C">
              <w:rPr>
                <w:rFonts w:ascii="HelveticaNeueLT Pro 55 Roman" w:hAnsi="HelveticaNeueLT Pro 55 Roman"/>
                <w:sz w:val="18"/>
                <w:szCs w:val="18"/>
              </w:rPr>
              <w:t>8.49</w:t>
            </w:r>
          </w:p>
        </w:tc>
        <w:tc>
          <w:tcPr>
            <w:tcW w:w="1559" w:type="dxa"/>
            <w:noWrap/>
            <w:vAlign w:val="center"/>
          </w:tcPr>
          <w:p w14:paraId="3EA95569" w14:textId="77777777" w:rsidR="003F3518" w:rsidRPr="0090787C" w:rsidRDefault="003F3518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hAnsi="HelveticaNeueLT Pro 55 Roman"/>
                <w:sz w:val="18"/>
                <w:szCs w:val="18"/>
              </w:rPr>
            </w:pPr>
            <w:r w:rsidRPr="0090787C">
              <w:rPr>
                <w:rFonts w:ascii="HelveticaNeueLT Pro 55 Roman" w:hAnsi="HelveticaNeueLT Pro 55 Roman"/>
                <w:sz w:val="18"/>
                <w:szCs w:val="18"/>
              </w:rPr>
              <w:t>5</w:t>
            </w:r>
          </w:p>
        </w:tc>
      </w:tr>
      <w:tr w:rsidR="001E758D" w14:paraId="04B3B561" w14:textId="77777777" w:rsidTr="00E23CC2">
        <w:trPr>
          <w:trHeight w:val="300"/>
        </w:trPr>
        <w:tc>
          <w:tcPr>
            <w:tcW w:w="3261" w:type="dxa"/>
            <w:noWrap/>
            <w:vAlign w:val="center"/>
          </w:tcPr>
          <w:p w14:paraId="51CC9139" w14:textId="77777777" w:rsidR="003F3518" w:rsidRPr="0090787C" w:rsidRDefault="003F3518" w:rsidP="006D49DA">
            <w:pPr>
              <w:suppressAutoHyphens/>
              <w:spacing w:before="60" w:after="60" w:line="240" w:lineRule="auto"/>
              <w:rPr>
                <w:rFonts w:ascii="HelveticaNeueLT Pro 55 Roman" w:hAnsi="HelveticaNeueLT Pro 55 Roman"/>
                <w:sz w:val="18"/>
                <w:szCs w:val="18"/>
              </w:rPr>
            </w:pPr>
            <w:r w:rsidRPr="0090787C">
              <w:rPr>
                <w:rFonts w:ascii="HelveticaNeueLT Pro 55 Roman" w:hAnsi="HelveticaNeueLT Pro 55 Roman"/>
                <w:sz w:val="18"/>
                <w:szCs w:val="18"/>
              </w:rPr>
              <w:t>Rare fungi</w:t>
            </w:r>
          </w:p>
        </w:tc>
        <w:tc>
          <w:tcPr>
            <w:tcW w:w="1134" w:type="dxa"/>
            <w:noWrap/>
            <w:vAlign w:val="center"/>
          </w:tcPr>
          <w:p w14:paraId="2FEC0E1A" w14:textId="77777777" w:rsidR="003F3518" w:rsidRPr="0090787C" w:rsidRDefault="003F3518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hAnsi="HelveticaNeueLT Pro 55 Roman"/>
                <w:b/>
                <w:bCs/>
                <w:sz w:val="18"/>
                <w:szCs w:val="18"/>
              </w:rPr>
            </w:pPr>
            <w:r w:rsidRPr="0090787C">
              <w:rPr>
                <w:rFonts w:ascii="HelveticaNeueLT Pro 55 Roman" w:hAnsi="HelveticaNeueLT Pro 55 Roman"/>
                <w:b/>
                <w:bCs/>
                <w:sz w:val="18"/>
                <w:szCs w:val="18"/>
              </w:rPr>
              <w:t>0.70</w:t>
            </w:r>
          </w:p>
        </w:tc>
        <w:tc>
          <w:tcPr>
            <w:tcW w:w="1134" w:type="dxa"/>
            <w:noWrap/>
            <w:vAlign w:val="center"/>
          </w:tcPr>
          <w:p w14:paraId="0DE5CAF3" w14:textId="77777777" w:rsidR="003F3518" w:rsidRPr="0090787C" w:rsidRDefault="003F3518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hAnsi="HelveticaNeueLT Pro 55 Roman"/>
                <w:sz w:val="18"/>
                <w:szCs w:val="18"/>
              </w:rPr>
            </w:pPr>
            <w:r w:rsidRPr="0090787C">
              <w:rPr>
                <w:rFonts w:ascii="HelveticaNeueLT Pro 55 Roman" w:hAnsi="HelveticaNeueLT Pro 55 Roman"/>
                <w:sz w:val="18"/>
                <w:szCs w:val="18"/>
              </w:rPr>
              <w:t>0.42</w:t>
            </w:r>
          </w:p>
        </w:tc>
        <w:tc>
          <w:tcPr>
            <w:tcW w:w="1134" w:type="dxa"/>
            <w:noWrap/>
            <w:vAlign w:val="center"/>
          </w:tcPr>
          <w:p w14:paraId="43A7750A" w14:textId="77777777" w:rsidR="003F3518" w:rsidRPr="0090787C" w:rsidRDefault="003F3518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hAnsi="HelveticaNeueLT Pro 55 Roman"/>
                <w:b/>
                <w:bCs/>
                <w:sz w:val="18"/>
                <w:szCs w:val="18"/>
              </w:rPr>
            </w:pPr>
            <w:r w:rsidRPr="0090787C">
              <w:rPr>
                <w:rFonts w:ascii="HelveticaNeueLT Pro 55 Roman" w:hAnsi="HelveticaNeueLT Pro 55 Roman"/>
                <w:b/>
                <w:bCs/>
                <w:sz w:val="18"/>
                <w:szCs w:val="18"/>
              </w:rPr>
              <w:t>13.00</w:t>
            </w:r>
          </w:p>
        </w:tc>
        <w:tc>
          <w:tcPr>
            <w:tcW w:w="1134" w:type="dxa"/>
            <w:noWrap/>
            <w:vAlign w:val="center"/>
          </w:tcPr>
          <w:p w14:paraId="0A41D348" w14:textId="77777777" w:rsidR="003F3518" w:rsidRPr="0090787C" w:rsidRDefault="003F3518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hAnsi="HelveticaNeueLT Pro 55 Roman"/>
                <w:sz w:val="18"/>
                <w:szCs w:val="18"/>
              </w:rPr>
            </w:pPr>
            <w:r w:rsidRPr="0090787C">
              <w:rPr>
                <w:rFonts w:ascii="HelveticaNeueLT Pro 55 Roman" w:hAnsi="HelveticaNeueLT Pro 55 Roman"/>
                <w:sz w:val="18"/>
                <w:szCs w:val="18"/>
              </w:rPr>
              <w:t>12.73</w:t>
            </w:r>
          </w:p>
        </w:tc>
        <w:tc>
          <w:tcPr>
            <w:tcW w:w="1559" w:type="dxa"/>
            <w:noWrap/>
            <w:vAlign w:val="center"/>
          </w:tcPr>
          <w:p w14:paraId="1A53320C" w14:textId="77777777" w:rsidR="003F3518" w:rsidRPr="0090787C" w:rsidRDefault="003F3518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hAnsi="HelveticaNeueLT Pro 55 Roman"/>
                <w:sz w:val="18"/>
                <w:szCs w:val="18"/>
              </w:rPr>
            </w:pPr>
            <w:r w:rsidRPr="0090787C">
              <w:rPr>
                <w:rFonts w:ascii="HelveticaNeueLT Pro 55 Roman" w:hAnsi="HelveticaNeueLT Pro 55 Roman"/>
                <w:sz w:val="18"/>
                <w:szCs w:val="18"/>
              </w:rPr>
              <w:t>2</w:t>
            </w:r>
          </w:p>
        </w:tc>
      </w:tr>
      <w:tr w:rsidR="003F3518" w14:paraId="664D970F" w14:textId="77777777" w:rsidTr="00656C51">
        <w:trPr>
          <w:trHeight w:val="300"/>
        </w:trPr>
        <w:tc>
          <w:tcPr>
            <w:tcW w:w="9356" w:type="dxa"/>
            <w:gridSpan w:val="6"/>
            <w:noWrap/>
            <w:hideMark/>
          </w:tcPr>
          <w:p w14:paraId="7D41F47F" w14:textId="77777777" w:rsidR="003F3518" w:rsidRPr="00A45216" w:rsidRDefault="003F3518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eastAsia="Times New Roman" w:hAnsi="HelveticaNeueLT Pro 55 Roman"/>
                <w:sz w:val="20"/>
                <w:szCs w:val="20"/>
                <w:lang w:eastAsia="sv-SE"/>
              </w:rPr>
            </w:pPr>
            <w:r w:rsidRPr="00A45216">
              <w:rPr>
                <w:rFonts w:ascii="HelveticaNeueLT Pro 55 Roman" w:hAnsi="HelveticaNeueLT Pro 55 Roman"/>
                <w:b/>
                <w:bCs/>
                <w:color w:val="000000"/>
                <w:sz w:val="20"/>
                <w:szCs w:val="20"/>
                <w:lang w:eastAsia="sv-SE"/>
              </w:rPr>
              <w:t>Studies of species richness</w:t>
            </w:r>
          </w:p>
        </w:tc>
      </w:tr>
      <w:tr w:rsidR="003F3518" w14:paraId="0D27E35D" w14:textId="77777777" w:rsidTr="00E23CC2">
        <w:trPr>
          <w:trHeight w:val="300"/>
        </w:trPr>
        <w:tc>
          <w:tcPr>
            <w:tcW w:w="3261" w:type="dxa"/>
            <w:noWrap/>
          </w:tcPr>
          <w:p w14:paraId="49A8FC15" w14:textId="77777777" w:rsidR="003F3518" w:rsidRPr="0090787C" w:rsidRDefault="003F3518" w:rsidP="006D49DA">
            <w:pPr>
              <w:suppressAutoHyphens/>
              <w:spacing w:before="60" w:after="60" w:line="240" w:lineRule="auto"/>
              <w:rPr>
                <w:rFonts w:ascii="HelveticaNeueLT Pro 55 Roman" w:hAnsi="HelveticaNeueLT Pro 55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noWrap/>
            <w:vAlign w:val="center"/>
          </w:tcPr>
          <w:p w14:paraId="72DB7F1A" w14:textId="77777777" w:rsidR="003F3518" w:rsidRPr="0090787C" w:rsidRDefault="003F3518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hAnsi="HelveticaNeueLT Pro 55 Roman"/>
                <w:sz w:val="18"/>
                <w:szCs w:val="18"/>
              </w:rPr>
            </w:pPr>
            <w:r w:rsidRPr="0090787C">
              <w:rPr>
                <w:rFonts w:ascii="HelveticaNeueLT Pro 55 Roman" w:hAnsi="HelveticaNeueLT Pro 55 Roman"/>
                <w:b/>
                <w:bCs/>
                <w:sz w:val="18"/>
                <w:szCs w:val="18"/>
              </w:rPr>
              <w:t>First year of sampling</w:t>
            </w:r>
          </w:p>
        </w:tc>
        <w:tc>
          <w:tcPr>
            <w:tcW w:w="2268" w:type="dxa"/>
            <w:gridSpan w:val="2"/>
            <w:noWrap/>
            <w:vAlign w:val="center"/>
          </w:tcPr>
          <w:p w14:paraId="69A8019A" w14:textId="77777777" w:rsidR="003F3518" w:rsidRPr="0090787C" w:rsidRDefault="003F3518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hAnsi="HelveticaNeueLT Pro 55 Roman"/>
                <w:color w:val="000000"/>
                <w:sz w:val="18"/>
                <w:szCs w:val="18"/>
                <w:lang w:eastAsia="sv-SE"/>
              </w:rPr>
            </w:pPr>
            <w:r w:rsidRPr="0090787C">
              <w:rPr>
                <w:rFonts w:ascii="HelveticaNeueLT Pro 55 Roman" w:hAnsi="HelveticaNeueLT Pro 55 Roman"/>
                <w:b/>
                <w:bCs/>
                <w:sz w:val="18"/>
                <w:szCs w:val="18"/>
              </w:rPr>
              <w:t>Final year of sampling</w:t>
            </w:r>
          </w:p>
        </w:tc>
        <w:tc>
          <w:tcPr>
            <w:tcW w:w="1559" w:type="dxa"/>
            <w:vMerge w:val="restart"/>
            <w:noWrap/>
            <w:vAlign w:val="center"/>
          </w:tcPr>
          <w:p w14:paraId="6D526635" w14:textId="77777777" w:rsidR="003F3518" w:rsidRPr="0090787C" w:rsidRDefault="003F3518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hAnsi="HelveticaNeueLT Pro 55 Roman"/>
                <w:color w:val="000000"/>
                <w:sz w:val="18"/>
                <w:szCs w:val="18"/>
                <w:lang w:eastAsia="sv-SE"/>
              </w:rPr>
            </w:pPr>
            <w:r w:rsidRPr="0090787C">
              <w:rPr>
                <w:rFonts w:ascii="HelveticaNeueLT Pro 55 Roman" w:hAnsi="HelveticaNeueLT Pro 55 Roman"/>
                <w:sz w:val="18"/>
                <w:szCs w:val="18"/>
              </w:rPr>
              <w:t>No. of studies</w:t>
            </w:r>
          </w:p>
        </w:tc>
      </w:tr>
      <w:tr w:rsidR="001E758D" w14:paraId="4996EED7" w14:textId="77777777" w:rsidTr="00E23CC2">
        <w:trPr>
          <w:trHeight w:val="566"/>
        </w:trPr>
        <w:tc>
          <w:tcPr>
            <w:tcW w:w="3261" w:type="dxa"/>
            <w:noWrap/>
            <w:vAlign w:val="center"/>
            <w:hideMark/>
          </w:tcPr>
          <w:p w14:paraId="4E4A0DAC" w14:textId="77777777" w:rsidR="003F3518" w:rsidRPr="0090787C" w:rsidRDefault="003F3518" w:rsidP="006D49DA">
            <w:pPr>
              <w:suppressAutoHyphens/>
              <w:spacing w:before="60" w:after="60" w:line="240" w:lineRule="auto"/>
              <w:rPr>
                <w:rFonts w:ascii="HelveticaNeueLT Pro 55 Roman" w:hAnsi="HelveticaNeueLT Pro 55 Roman"/>
                <w:b/>
                <w:sz w:val="18"/>
                <w:szCs w:val="18"/>
              </w:rPr>
            </w:pPr>
            <w:r w:rsidRPr="0090787C">
              <w:rPr>
                <w:rFonts w:ascii="HelveticaNeueLT Pro 55 Roman" w:hAnsi="HelveticaNeueLT Pro 55 Roman"/>
                <w:b/>
                <w:sz w:val="18"/>
                <w:szCs w:val="18"/>
              </w:rPr>
              <w:t>Taxon group</w:t>
            </w:r>
          </w:p>
        </w:tc>
        <w:tc>
          <w:tcPr>
            <w:tcW w:w="1134" w:type="dxa"/>
            <w:noWrap/>
            <w:vAlign w:val="center"/>
          </w:tcPr>
          <w:p w14:paraId="09FB63BE" w14:textId="77777777" w:rsidR="003F3518" w:rsidRPr="0090787C" w:rsidRDefault="003F3518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hAnsi="HelveticaNeueLT Pro 55 Roman"/>
                <w:b/>
                <w:bCs/>
                <w:sz w:val="18"/>
                <w:szCs w:val="18"/>
              </w:rPr>
            </w:pPr>
            <w:r w:rsidRPr="0090787C">
              <w:rPr>
                <w:rFonts w:ascii="HelveticaNeueLT Pro 55 Roman" w:hAnsi="HelveticaNeueLT Pro 55 Roman"/>
                <w:b/>
                <w:bCs/>
                <w:sz w:val="18"/>
                <w:szCs w:val="18"/>
              </w:rPr>
              <w:t>Mean (years)</w:t>
            </w:r>
          </w:p>
        </w:tc>
        <w:tc>
          <w:tcPr>
            <w:tcW w:w="1134" w:type="dxa"/>
            <w:noWrap/>
            <w:vAlign w:val="center"/>
          </w:tcPr>
          <w:p w14:paraId="0C2E24DA" w14:textId="77777777" w:rsidR="003F3518" w:rsidRPr="0090787C" w:rsidRDefault="003F3518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hAnsi="HelveticaNeueLT Pro 55 Roman"/>
                <w:sz w:val="18"/>
                <w:szCs w:val="18"/>
              </w:rPr>
            </w:pPr>
            <w:r w:rsidRPr="0090787C">
              <w:rPr>
                <w:rFonts w:ascii="HelveticaNeueLT Pro 55 Roman" w:hAnsi="HelveticaNeueLT Pro 55 Roman"/>
                <w:sz w:val="18"/>
                <w:szCs w:val="18"/>
              </w:rPr>
              <w:t>SD</w:t>
            </w:r>
          </w:p>
        </w:tc>
        <w:tc>
          <w:tcPr>
            <w:tcW w:w="1134" w:type="dxa"/>
            <w:noWrap/>
            <w:vAlign w:val="center"/>
          </w:tcPr>
          <w:p w14:paraId="614874D8" w14:textId="77777777" w:rsidR="003F3518" w:rsidRPr="0090787C" w:rsidRDefault="003F3518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hAnsi="HelveticaNeueLT Pro 55 Roman"/>
                <w:b/>
                <w:bCs/>
                <w:sz w:val="18"/>
                <w:szCs w:val="18"/>
              </w:rPr>
            </w:pPr>
            <w:r w:rsidRPr="0090787C">
              <w:rPr>
                <w:rFonts w:ascii="HelveticaNeueLT Pro 55 Roman" w:hAnsi="HelveticaNeueLT Pro 55 Roman"/>
                <w:b/>
                <w:bCs/>
                <w:sz w:val="18"/>
                <w:szCs w:val="18"/>
              </w:rPr>
              <w:t>Mean (years)</w:t>
            </w:r>
          </w:p>
        </w:tc>
        <w:tc>
          <w:tcPr>
            <w:tcW w:w="1134" w:type="dxa"/>
            <w:noWrap/>
            <w:vAlign w:val="center"/>
          </w:tcPr>
          <w:p w14:paraId="33B75E68" w14:textId="77777777" w:rsidR="003F3518" w:rsidRPr="0090787C" w:rsidRDefault="003F3518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hAnsi="HelveticaNeueLT Pro 55 Roman"/>
                <w:sz w:val="18"/>
                <w:szCs w:val="18"/>
              </w:rPr>
            </w:pPr>
            <w:r w:rsidRPr="0090787C">
              <w:rPr>
                <w:rFonts w:ascii="HelveticaNeueLT Pro 55 Roman" w:hAnsi="HelveticaNeueLT Pro 55 Roman"/>
                <w:sz w:val="18"/>
                <w:szCs w:val="18"/>
              </w:rPr>
              <w:t>SD</w:t>
            </w:r>
          </w:p>
        </w:tc>
        <w:tc>
          <w:tcPr>
            <w:tcW w:w="1559" w:type="dxa"/>
            <w:vMerge/>
            <w:noWrap/>
            <w:vAlign w:val="center"/>
          </w:tcPr>
          <w:p w14:paraId="1CAD90C1" w14:textId="77777777" w:rsidR="003F3518" w:rsidRPr="0090787C" w:rsidRDefault="003F3518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hAnsi="HelveticaNeueLT Pro 55 Roman"/>
                <w:sz w:val="18"/>
                <w:szCs w:val="18"/>
              </w:rPr>
            </w:pPr>
          </w:p>
        </w:tc>
      </w:tr>
      <w:tr w:rsidR="001E758D" w14:paraId="09BD4CF8" w14:textId="77777777" w:rsidTr="00E23CC2">
        <w:trPr>
          <w:trHeight w:val="300"/>
        </w:trPr>
        <w:tc>
          <w:tcPr>
            <w:tcW w:w="3261" w:type="dxa"/>
            <w:noWrap/>
            <w:vAlign w:val="center"/>
          </w:tcPr>
          <w:p w14:paraId="3E5586D2" w14:textId="77777777" w:rsidR="003F3518" w:rsidRPr="0090787C" w:rsidRDefault="003F3518" w:rsidP="006D49DA">
            <w:pPr>
              <w:suppressAutoHyphens/>
              <w:spacing w:before="60" w:after="60" w:line="240" w:lineRule="auto"/>
              <w:rPr>
                <w:rFonts w:ascii="HelveticaNeueLT Pro 55 Roman" w:hAnsi="HelveticaNeueLT Pro 55 Roman"/>
                <w:color w:val="000000"/>
                <w:sz w:val="18"/>
                <w:szCs w:val="18"/>
                <w:lang w:eastAsia="sv-SE"/>
              </w:rPr>
            </w:pPr>
            <w:r w:rsidRPr="0090787C">
              <w:rPr>
                <w:rFonts w:ascii="HelveticaNeueLT Pro 55 Roman" w:hAnsi="HelveticaNeueLT Pro 55 Roman"/>
                <w:sz w:val="18"/>
                <w:szCs w:val="18"/>
              </w:rPr>
              <w:t>Saproxylic insects</w:t>
            </w:r>
          </w:p>
        </w:tc>
        <w:tc>
          <w:tcPr>
            <w:tcW w:w="1134" w:type="dxa"/>
            <w:noWrap/>
            <w:vAlign w:val="center"/>
          </w:tcPr>
          <w:p w14:paraId="72220286" w14:textId="77777777" w:rsidR="003F3518" w:rsidRPr="0090787C" w:rsidRDefault="003F3518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hAnsi="HelveticaNeueLT Pro 55 Roman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90787C">
              <w:rPr>
                <w:rFonts w:ascii="HelveticaNeueLT Pro 55 Roman" w:hAnsi="HelveticaNeueLT Pro 55 Roman"/>
                <w:b/>
                <w:bCs/>
                <w:color w:val="000000"/>
                <w:sz w:val="18"/>
                <w:szCs w:val="18"/>
                <w:lang w:eastAsia="sv-SE"/>
              </w:rPr>
              <w:t>0.87</w:t>
            </w:r>
          </w:p>
        </w:tc>
        <w:tc>
          <w:tcPr>
            <w:tcW w:w="1134" w:type="dxa"/>
            <w:noWrap/>
            <w:vAlign w:val="center"/>
          </w:tcPr>
          <w:p w14:paraId="1DC7BF86" w14:textId="77777777" w:rsidR="003F3518" w:rsidRPr="0090787C" w:rsidRDefault="003F3518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hAnsi="HelveticaNeueLT Pro 55 Roman"/>
                <w:color w:val="000000"/>
                <w:sz w:val="18"/>
                <w:szCs w:val="18"/>
                <w:lang w:eastAsia="sv-SE"/>
              </w:rPr>
            </w:pPr>
            <w:r w:rsidRPr="0090787C">
              <w:rPr>
                <w:rFonts w:ascii="HelveticaNeueLT Pro 55 Roman" w:hAnsi="HelveticaNeueLT Pro 55 Roman"/>
                <w:color w:val="000000"/>
                <w:sz w:val="18"/>
                <w:szCs w:val="18"/>
                <w:lang w:eastAsia="sv-SE"/>
              </w:rPr>
              <w:t>0.35</w:t>
            </w:r>
          </w:p>
        </w:tc>
        <w:tc>
          <w:tcPr>
            <w:tcW w:w="1134" w:type="dxa"/>
            <w:noWrap/>
            <w:vAlign w:val="center"/>
          </w:tcPr>
          <w:p w14:paraId="130B4070" w14:textId="77777777" w:rsidR="003F3518" w:rsidRPr="0090787C" w:rsidRDefault="003F3518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hAnsi="HelveticaNeueLT Pro 55 Roman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90787C">
              <w:rPr>
                <w:rFonts w:ascii="HelveticaNeueLT Pro 55 Roman" w:hAnsi="HelveticaNeueLT Pro 55 Roman"/>
                <w:b/>
                <w:bCs/>
                <w:color w:val="000000"/>
                <w:sz w:val="18"/>
                <w:szCs w:val="18"/>
                <w:lang w:eastAsia="sv-SE"/>
              </w:rPr>
              <w:t>2.24</w:t>
            </w:r>
          </w:p>
        </w:tc>
        <w:tc>
          <w:tcPr>
            <w:tcW w:w="1134" w:type="dxa"/>
            <w:noWrap/>
            <w:vAlign w:val="center"/>
          </w:tcPr>
          <w:p w14:paraId="31B3CA7A" w14:textId="77777777" w:rsidR="003F3518" w:rsidRPr="0090787C" w:rsidRDefault="003F3518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hAnsi="HelveticaNeueLT Pro 55 Roman"/>
                <w:color w:val="000000"/>
                <w:sz w:val="18"/>
                <w:szCs w:val="18"/>
                <w:lang w:eastAsia="sv-SE"/>
              </w:rPr>
            </w:pPr>
            <w:r w:rsidRPr="0090787C">
              <w:rPr>
                <w:rFonts w:ascii="HelveticaNeueLT Pro 55 Roman" w:hAnsi="HelveticaNeueLT Pro 55 Roman"/>
                <w:color w:val="000000"/>
                <w:sz w:val="18"/>
                <w:szCs w:val="18"/>
                <w:lang w:eastAsia="sv-SE"/>
              </w:rPr>
              <w:t>2.03</w:t>
            </w:r>
          </w:p>
        </w:tc>
        <w:tc>
          <w:tcPr>
            <w:tcW w:w="1559" w:type="dxa"/>
            <w:noWrap/>
            <w:vAlign w:val="center"/>
          </w:tcPr>
          <w:p w14:paraId="596B703A" w14:textId="77777777" w:rsidR="003F3518" w:rsidRPr="0090787C" w:rsidRDefault="003F3518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hAnsi="HelveticaNeueLT Pro 55 Roman"/>
                <w:color w:val="000000"/>
                <w:sz w:val="18"/>
                <w:szCs w:val="18"/>
                <w:lang w:eastAsia="sv-SE"/>
              </w:rPr>
            </w:pPr>
            <w:r w:rsidRPr="0090787C">
              <w:rPr>
                <w:rFonts w:ascii="HelveticaNeueLT Pro 55 Roman" w:hAnsi="HelveticaNeueLT Pro 55 Roman"/>
                <w:color w:val="000000"/>
                <w:sz w:val="18"/>
                <w:szCs w:val="18"/>
                <w:lang w:eastAsia="sv-SE"/>
              </w:rPr>
              <w:t>30</w:t>
            </w:r>
          </w:p>
        </w:tc>
      </w:tr>
      <w:tr w:rsidR="001E758D" w14:paraId="51416726" w14:textId="77777777" w:rsidTr="00E23CC2">
        <w:trPr>
          <w:trHeight w:val="300"/>
        </w:trPr>
        <w:tc>
          <w:tcPr>
            <w:tcW w:w="3261" w:type="dxa"/>
            <w:noWrap/>
            <w:vAlign w:val="center"/>
          </w:tcPr>
          <w:p w14:paraId="3E3E8F26" w14:textId="77777777" w:rsidR="003F3518" w:rsidRPr="0090787C" w:rsidRDefault="003F3518" w:rsidP="006D49DA">
            <w:pPr>
              <w:suppressAutoHyphens/>
              <w:spacing w:before="60" w:after="60" w:line="240" w:lineRule="auto"/>
              <w:rPr>
                <w:rFonts w:ascii="HelveticaNeueLT Pro 55 Roman" w:hAnsi="HelveticaNeueLT Pro 55 Roman"/>
                <w:color w:val="000000"/>
                <w:sz w:val="18"/>
                <w:szCs w:val="18"/>
                <w:lang w:eastAsia="sv-SE"/>
              </w:rPr>
            </w:pPr>
            <w:r w:rsidRPr="0090787C">
              <w:rPr>
                <w:rFonts w:ascii="HelveticaNeueLT Pro 55 Roman" w:hAnsi="HelveticaNeueLT Pro 55 Roman"/>
                <w:color w:val="000000"/>
                <w:sz w:val="18"/>
                <w:szCs w:val="18"/>
                <w:lang w:eastAsia="sv-SE"/>
              </w:rPr>
              <w:t>Rare saproxylic insects</w:t>
            </w:r>
          </w:p>
        </w:tc>
        <w:tc>
          <w:tcPr>
            <w:tcW w:w="1134" w:type="dxa"/>
            <w:noWrap/>
            <w:vAlign w:val="center"/>
          </w:tcPr>
          <w:p w14:paraId="01068278" w14:textId="77777777" w:rsidR="003F3518" w:rsidRPr="0090787C" w:rsidRDefault="003F3518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hAnsi="HelveticaNeueLT Pro 55 Roman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90787C">
              <w:rPr>
                <w:rFonts w:ascii="HelveticaNeueLT Pro 55 Roman" w:hAnsi="HelveticaNeueLT Pro 55 Roman"/>
                <w:b/>
                <w:bCs/>
                <w:color w:val="000000"/>
                <w:sz w:val="18"/>
                <w:szCs w:val="18"/>
                <w:lang w:eastAsia="sv-SE"/>
              </w:rPr>
              <w:t>0.95</w:t>
            </w:r>
          </w:p>
        </w:tc>
        <w:tc>
          <w:tcPr>
            <w:tcW w:w="1134" w:type="dxa"/>
            <w:noWrap/>
            <w:vAlign w:val="center"/>
          </w:tcPr>
          <w:p w14:paraId="71C7EB04" w14:textId="77777777" w:rsidR="003F3518" w:rsidRPr="0090787C" w:rsidRDefault="003F3518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hAnsi="HelveticaNeueLT Pro 55 Roman"/>
                <w:color w:val="000000"/>
                <w:sz w:val="18"/>
                <w:szCs w:val="18"/>
                <w:lang w:eastAsia="sv-SE"/>
              </w:rPr>
            </w:pPr>
            <w:r w:rsidRPr="0090787C">
              <w:rPr>
                <w:rFonts w:ascii="HelveticaNeueLT Pro 55 Roman" w:hAnsi="HelveticaNeueLT Pro 55 Roman"/>
                <w:color w:val="000000"/>
                <w:sz w:val="18"/>
                <w:szCs w:val="18"/>
                <w:lang w:eastAsia="sv-SE"/>
              </w:rPr>
              <w:t>0.36</w:t>
            </w:r>
          </w:p>
        </w:tc>
        <w:tc>
          <w:tcPr>
            <w:tcW w:w="1134" w:type="dxa"/>
            <w:noWrap/>
            <w:vAlign w:val="center"/>
          </w:tcPr>
          <w:p w14:paraId="1D8FE5DA" w14:textId="77777777" w:rsidR="003F3518" w:rsidRPr="0090787C" w:rsidRDefault="003F3518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hAnsi="HelveticaNeueLT Pro 55 Roman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90787C">
              <w:rPr>
                <w:rFonts w:ascii="HelveticaNeueLT Pro 55 Roman" w:hAnsi="HelveticaNeueLT Pro 55 Roman"/>
                <w:b/>
                <w:bCs/>
                <w:color w:val="000000"/>
                <w:sz w:val="18"/>
                <w:szCs w:val="18"/>
                <w:lang w:eastAsia="sv-SE"/>
              </w:rPr>
              <w:t>2.53</w:t>
            </w:r>
          </w:p>
        </w:tc>
        <w:tc>
          <w:tcPr>
            <w:tcW w:w="1134" w:type="dxa"/>
            <w:noWrap/>
            <w:vAlign w:val="center"/>
          </w:tcPr>
          <w:p w14:paraId="3471A2B4" w14:textId="77777777" w:rsidR="003F3518" w:rsidRPr="0090787C" w:rsidRDefault="003F3518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hAnsi="HelveticaNeueLT Pro 55 Roman"/>
                <w:color w:val="000000"/>
                <w:sz w:val="18"/>
                <w:szCs w:val="18"/>
                <w:lang w:eastAsia="sv-SE"/>
              </w:rPr>
            </w:pPr>
            <w:r w:rsidRPr="0090787C">
              <w:rPr>
                <w:rFonts w:ascii="HelveticaNeueLT Pro 55 Roman" w:hAnsi="HelveticaNeueLT Pro 55 Roman"/>
                <w:color w:val="000000"/>
                <w:sz w:val="18"/>
                <w:szCs w:val="18"/>
                <w:lang w:eastAsia="sv-SE"/>
              </w:rPr>
              <w:t>2.58</w:t>
            </w:r>
          </w:p>
        </w:tc>
        <w:tc>
          <w:tcPr>
            <w:tcW w:w="1559" w:type="dxa"/>
            <w:noWrap/>
            <w:vAlign w:val="center"/>
          </w:tcPr>
          <w:p w14:paraId="067BAA50" w14:textId="77777777" w:rsidR="003F3518" w:rsidRPr="0090787C" w:rsidRDefault="003F3518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hAnsi="HelveticaNeueLT Pro 55 Roman"/>
                <w:color w:val="000000"/>
                <w:sz w:val="18"/>
                <w:szCs w:val="18"/>
                <w:lang w:eastAsia="sv-SE"/>
              </w:rPr>
            </w:pPr>
            <w:r w:rsidRPr="0090787C">
              <w:rPr>
                <w:rFonts w:ascii="HelveticaNeueLT Pro 55 Roman" w:hAnsi="HelveticaNeueLT Pro 55 Roman"/>
                <w:color w:val="000000"/>
                <w:sz w:val="18"/>
                <w:szCs w:val="18"/>
                <w:lang w:eastAsia="sv-SE"/>
              </w:rPr>
              <w:t>17</w:t>
            </w:r>
          </w:p>
        </w:tc>
      </w:tr>
      <w:tr w:rsidR="001E758D" w14:paraId="729EE64D" w14:textId="77777777" w:rsidTr="00E23CC2">
        <w:trPr>
          <w:trHeight w:val="300"/>
        </w:trPr>
        <w:tc>
          <w:tcPr>
            <w:tcW w:w="3261" w:type="dxa"/>
            <w:noWrap/>
            <w:vAlign w:val="center"/>
          </w:tcPr>
          <w:p w14:paraId="551EFD76" w14:textId="77777777" w:rsidR="003F3518" w:rsidRPr="0090787C" w:rsidRDefault="003F3518" w:rsidP="006D49DA">
            <w:pPr>
              <w:suppressAutoHyphens/>
              <w:spacing w:before="60" w:after="60" w:line="240" w:lineRule="auto"/>
              <w:rPr>
                <w:rFonts w:ascii="HelveticaNeueLT Pro 55 Roman" w:hAnsi="HelveticaNeueLT Pro 55 Roman"/>
                <w:color w:val="000000"/>
                <w:sz w:val="18"/>
                <w:szCs w:val="18"/>
                <w:lang w:eastAsia="sv-SE"/>
              </w:rPr>
            </w:pPr>
            <w:r w:rsidRPr="0090787C">
              <w:rPr>
                <w:rFonts w:ascii="HelveticaNeueLT Pro 55 Roman" w:hAnsi="HelveticaNeueLT Pro 55 Roman"/>
                <w:color w:val="000000"/>
                <w:sz w:val="18"/>
                <w:szCs w:val="18"/>
                <w:lang w:eastAsia="sv-SE"/>
              </w:rPr>
              <w:t>Ground insects</w:t>
            </w:r>
          </w:p>
        </w:tc>
        <w:tc>
          <w:tcPr>
            <w:tcW w:w="1134" w:type="dxa"/>
            <w:noWrap/>
            <w:vAlign w:val="center"/>
          </w:tcPr>
          <w:p w14:paraId="20EE7DD9" w14:textId="77777777" w:rsidR="003F3518" w:rsidRPr="0090787C" w:rsidRDefault="003F3518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hAnsi="HelveticaNeueLT Pro 55 Roman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90787C">
              <w:rPr>
                <w:rFonts w:ascii="HelveticaNeueLT Pro 55 Roman" w:hAnsi="HelveticaNeueLT Pro 55 Roman"/>
                <w:b/>
                <w:bCs/>
                <w:color w:val="000000"/>
                <w:sz w:val="18"/>
                <w:szCs w:val="18"/>
                <w:lang w:eastAsia="sv-SE"/>
              </w:rPr>
              <w:t>3.00</w:t>
            </w:r>
          </w:p>
        </w:tc>
        <w:tc>
          <w:tcPr>
            <w:tcW w:w="1134" w:type="dxa"/>
            <w:noWrap/>
            <w:vAlign w:val="center"/>
          </w:tcPr>
          <w:p w14:paraId="785EA979" w14:textId="77777777" w:rsidR="003F3518" w:rsidRPr="0090787C" w:rsidRDefault="003F3518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hAnsi="HelveticaNeueLT Pro 55 Roman"/>
                <w:color w:val="000000"/>
                <w:sz w:val="18"/>
                <w:szCs w:val="18"/>
                <w:lang w:eastAsia="sv-SE"/>
              </w:rPr>
            </w:pPr>
            <w:r w:rsidRPr="0090787C">
              <w:rPr>
                <w:rFonts w:ascii="HelveticaNeueLT Pro 55 Roman" w:hAnsi="HelveticaNeueLT Pro 55 Roman"/>
                <w:color w:val="000000"/>
                <w:sz w:val="18"/>
                <w:szCs w:val="18"/>
                <w:lang w:eastAsia="sv-SE"/>
              </w:rPr>
              <w:t>3.10</w:t>
            </w:r>
          </w:p>
        </w:tc>
        <w:tc>
          <w:tcPr>
            <w:tcW w:w="1134" w:type="dxa"/>
            <w:noWrap/>
            <w:vAlign w:val="center"/>
          </w:tcPr>
          <w:p w14:paraId="62987746" w14:textId="77777777" w:rsidR="003F3518" w:rsidRPr="0090787C" w:rsidRDefault="003F3518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hAnsi="HelveticaNeueLT Pro 55 Roman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90787C">
              <w:rPr>
                <w:rFonts w:ascii="HelveticaNeueLT Pro 55 Roman" w:hAnsi="HelveticaNeueLT Pro 55 Roman"/>
                <w:b/>
                <w:bCs/>
                <w:color w:val="000000"/>
                <w:sz w:val="18"/>
                <w:szCs w:val="18"/>
                <w:lang w:eastAsia="sv-SE"/>
              </w:rPr>
              <w:t>4.00</w:t>
            </w:r>
          </w:p>
        </w:tc>
        <w:tc>
          <w:tcPr>
            <w:tcW w:w="1134" w:type="dxa"/>
            <w:noWrap/>
            <w:vAlign w:val="center"/>
          </w:tcPr>
          <w:p w14:paraId="0E249D10" w14:textId="77777777" w:rsidR="003F3518" w:rsidRPr="0090787C" w:rsidRDefault="003F3518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hAnsi="HelveticaNeueLT Pro 55 Roman"/>
                <w:color w:val="000000"/>
                <w:sz w:val="18"/>
                <w:szCs w:val="18"/>
                <w:lang w:eastAsia="sv-SE"/>
              </w:rPr>
            </w:pPr>
            <w:r w:rsidRPr="0090787C">
              <w:rPr>
                <w:rFonts w:ascii="HelveticaNeueLT Pro 55 Roman" w:hAnsi="HelveticaNeueLT Pro 55 Roman"/>
                <w:color w:val="000000"/>
                <w:sz w:val="18"/>
                <w:szCs w:val="18"/>
                <w:lang w:eastAsia="sv-SE"/>
              </w:rPr>
              <w:t>2.37</w:t>
            </w:r>
          </w:p>
        </w:tc>
        <w:tc>
          <w:tcPr>
            <w:tcW w:w="1559" w:type="dxa"/>
            <w:noWrap/>
            <w:vAlign w:val="center"/>
          </w:tcPr>
          <w:p w14:paraId="2DAA201E" w14:textId="77777777" w:rsidR="003F3518" w:rsidRPr="0090787C" w:rsidRDefault="003F3518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hAnsi="HelveticaNeueLT Pro 55 Roman"/>
                <w:color w:val="000000"/>
                <w:sz w:val="18"/>
                <w:szCs w:val="18"/>
                <w:lang w:eastAsia="sv-SE"/>
              </w:rPr>
            </w:pPr>
            <w:r w:rsidRPr="0090787C">
              <w:rPr>
                <w:rFonts w:ascii="HelveticaNeueLT Pro 55 Roman" w:hAnsi="HelveticaNeueLT Pro 55 Roman"/>
                <w:color w:val="000000"/>
                <w:sz w:val="18"/>
                <w:szCs w:val="18"/>
                <w:lang w:eastAsia="sv-SE"/>
              </w:rPr>
              <w:t>6</w:t>
            </w:r>
          </w:p>
        </w:tc>
      </w:tr>
      <w:tr w:rsidR="001E758D" w14:paraId="16D1B9C1" w14:textId="77777777" w:rsidTr="00E23CC2">
        <w:trPr>
          <w:trHeight w:val="300"/>
        </w:trPr>
        <w:tc>
          <w:tcPr>
            <w:tcW w:w="3261" w:type="dxa"/>
            <w:noWrap/>
            <w:vAlign w:val="center"/>
          </w:tcPr>
          <w:p w14:paraId="54F61C25" w14:textId="77777777" w:rsidR="003F3518" w:rsidRPr="0090787C" w:rsidRDefault="003F3518" w:rsidP="006D49DA">
            <w:pPr>
              <w:suppressAutoHyphens/>
              <w:spacing w:before="60" w:after="60" w:line="240" w:lineRule="auto"/>
              <w:rPr>
                <w:rFonts w:ascii="HelveticaNeueLT Pro 55 Roman" w:hAnsi="HelveticaNeueLT Pro 55 Roman"/>
                <w:color w:val="000000"/>
                <w:sz w:val="18"/>
                <w:szCs w:val="18"/>
                <w:lang w:eastAsia="sv-SE"/>
              </w:rPr>
            </w:pPr>
            <w:r w:rsidRPr="0090787C">
              <w:rPr>
                <w:rFonts w:ascii="HelveticaNeueLT Pro 55 Roman" w:hAnsi="HelveticaNeueLT Pro 55 Roman"/>
                <w:color w:val="000000"/>
                <w:sz w:val="18"/>
                <w:szCs w:val="18"/>
                <w:lang w:eastAsia="sv-SE"/>
              </w:rPr>
              <w:t>Fungi</w:t>
            </w:r>
          </w:p>
        </w:tc>
        <w:tc>
          <w:tcPr>
            <w:tcW w:w="1134" w:type="dxa"/>
            <w:noWrap/>
            <w:vAlign w:val="center"/>
          </w:tcPr>
          <w:p w14:paraId="00A2A12B" w14:textId="77777777" w:rsidR="003F3518" w:rsidRPr="0090787C" w:rsidRDefault="003F3518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hAnsi="HelveticaNeueLT Pro 55 Roman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90787C">
              <w:rPr>
                <w:rFonts w:ascii="HelveticaNeueLT Pro 55 Roman" w:hAnsi="HelveticaNeueLT Pro 55 Roman"/>
                <w:b/>
                <w:bCs/>
                <w:color w:val="000000"/>
                <w:sz w:val="18"/>
                <w:szCs w:val="18"/>
                <w:lang w:eastAsia="sv-SE"/>
              </w:rPr>
              <w:t>2.13</w:t>
            </w:r>
          </w:p>
        </w:tc>
        <w:tc>
          <w:tcPr>
            <w:tcW w:w="1134" w:type="dxa"/>
            <w:noWrap/>
            <w:vAlign w:val="center"/>
          </w:tcPr>
          <w:p w14:paraId="7A0DAD68" w14:textId="77777777" w:rsidR="003F3518" w:rsidRPr="0090787C" w:rsidRDefault="003F3518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hAnsi="HelveticaNeueLT Pro 55 Roman"/>
                <w:color w:val="000000"/>
                <w:sz w:val="18"/>
                <w:szCs w:val="18"/>
                <w:lang w:eastAsia="sv-SE"/>
              </w:rPr>
            </w:pPr>
            <w:r w:rsidRPr="0090787C">
              <w:rPr>
                <w:rFonts w:ascii="HelveticaNeueLT Pro 55 Roman" w:hAnsi="HelveticaNeueLT Pro 55 Roman"/>
                <w:color w:val="000000"/>
                <w:sz w:val="18"/>
                <w:szCs w:val="18"/>
                <w:lang w:eastAsia="sv-SE"/>
              </w:rPr>
              <w:t>2.50</w:t>
            </w:r>
          </w:p>
        </w:tc>
        <w:tc>
          <w:tcPr>
            <w:tcW w:w="1134" w:type="dxa"/>
            <w:noWrap/>
            <w:vAlign w:val="center"/>
          </w:tcPr>
          <w:p w14:paraId="79C27739" w14:textId="77777777" w:rsidR="003F3518" w:rsidRPr="0090787C" w:rsidRDefault="003F3518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hAnsi="HelveticaNeueLT Pro 55 Roman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90787C">
              <w:rPr>
                <w:rFonts w:ascii="HelveticaNeueLT Pro 55 Roman" w:hAnsi="HelveticaNeueLT Pro 55 Roman"/>
                <w:b/>
                <w:bCs/>
                <w:color w:val="000000"/>
                <w:sz w:val="18"/>
                <w:szCs w:val="18"/>
                <w:lang w:eastAsia="sv-SE"/>
              </w:rPr>
              <w:t>10.33</w:t>
            </w:r>
          </w:p>
        </w:tc>
        <w:tc>
          <w:tcPr>
            <w:tcW w:w="1134" w:type="dxa"/>
            <w:noWrap/>
            <w:vAlign w:val="center"/>
          </w:tcPr>
          <w:p w14:paraId="3464C89C" w14:textId="77777777" w:rsidR="003F3518" w:rsidRPr="0090787C" w:rsidRDefault="003F3518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hAnsi="HelveticaNeueLT Pro 55 Roman"/>
                <w:color w:val="000000"/>
                <w:sz w:val="18"/>
                <w:szCs w:val="18"/>
                <w:lang w:eastAsia="sv-SE"/>
              </w:rPr>
            </w:pPr>
            <w:r w:rsidRPr="0090787C">
              <w:rPr>
                <w:rFonts w:ascii="HelveticaNeueLT Pro 55 Roman" w:hAnsi="HelveticaNeueLT Pro 55 Roman"/>
                <w:color w:val="000000"/>
                <w:sz w:val="18"/>
                <w:szCs w:val="18"/>
                <w:lang w:eastAsia="sv-SE"/>
              </w:rPr>
              <w:t>10.12</w:t>
            </w:r>
          </w:p>
        </w:tc>
        <w:tc>
          <w:tcPr>
            <w:tcW w:w="1559" w:type="dxa"/>
            <w:noWrap/>
            <w:vAlign w:val="center"/>
          </w:tcPr>
          <w:p w14:paraId="1970C8BD" w14:textId="77777777" w:rsidR="003F3518" w:rsidRPr="0090787C" w:rsidRDefault="003F3518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hAnsi="HelveticaNeueLT Pro 55 Roman"/>
                <w:color w:val="000000"/>
                <w:sz w:val="18"/>
                <w:szCs w:val="18"/>
                <w:lang w:eastAsia="sv-SE"/>
              </w:rPr>
            </w:pPr>
            <w:r w:rsidRPr="0090787C">
              <w:rPr>
                <w:rFonts w:ascii="HelveticaNeueLT Pro 55 Roman" w:hAnsi="HelveticaNeueLT Pro 55 Roman"/>
                <w:color w:val="000000"/>
                <w:sz w:val="18"/>
                <w:szCs w:val="18"/>
                <w:lang w:eastAsia="sv-SE"/>
              </w:rPr>
              <w:t>3</w:t>
            </w:r>
          </w:p>
        </w:tc>
      </w:tr>
      <w:tr w:rsidR="001E758D" w14:paraId="102A4690" w14:textId="77777777" w:rsidTr="00E23CC2">
        <w:trPr>
          <w:trHeight w:val="300"/>
        </w:trPr>
        <w:tc>
          <w:tcPr>
            <w:tcW w:w="3261" w:type="dxa"/>
            <w:noWrap/>
            <w:vAlign w:val="center"/>
          </w:tcPr>
          <w:p w14:paraId="06CFD258" w14:textId="77777777" w:rsidR="003F3518" w:rsidRPr="0090787C" w:rsidRDefault="003F3518" w:rsidP="006D49DA">
            <w:pPr>
              <w:suppressAutoHyphens/>
              <w:spacing w:before="60" w:after="60" w:line="240" w:lineRule="auto"/>
              <w:rPr>
                <w:rFonts w:ascii="HelveticaNeueLT Pro 55 Roman" w:hAnsi="HelveticaNeueLT Pro 55 Roman"/>
                <w:color w:val="000000"/>
                <w:sz w:val="18"/>
                <w:szCs w:val="18"/>
                <w:lang w:eastAsia="sv-SE"/>
              </w:rPr>
            </w:pPr>
            <w:r w:rsidRPr="0090787C">
              <w:rPr>
                <w:rFonts w:ascii="HelveticaNeueLT Pro 55 Roman" w:hAnsi="HelveticaNeueLT Pro 55 Roman"/>
                <w:color w:val="000000"/>
                <w:sz w:val="18"/>
                <w:szCs w:val="18"/>
                <w:lang w:eastAsia="sv-SE"/>
              </w:rPr>
              <w:t>Rare fungi</w:t>
            </w:r>
          </w:p>
        </w:tc>
        <w:tc>
          <w:tcPr>
            <w:tcW w:w="1134" w:type="dxa"/>
            <w:noWrap/>
            <w:vAlign w:val="center"/>
          </w:tcPr>
          <w:p w14:paraId="6DC53A68" w14:textId="77777777" w:rsidR="003F3518" w:rsidRPr="0090787C" w:rsidRDefault="003F3518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hAnsi="HelveticaNeueLT Pro 55 Roman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90787C">
              <w:rPr>
                <w:rFonts w:ascii="HelveticaNeueLT Pro 55 Roman" w:hAnsi="HelveticaNeueLT Pro 55 Roman"/>
                <w:b/>
                <w:bCs/>
                <w:color w:val="000000"/>
                <w:sz w:val="18"/>
                <w:szCs w:val="18"/>
                <w:lang w:eastAsia="sv-SE"/>
              </w:rPr>
              <w:t>0.70</w:t>
            </w:r>
          </w:p>
        </w:tc>
        <w:tc>
          <w:tcPr>
            <w:tcW w:w="1134" w:type="dxa"/>
            <w:noWrap/>
            <w:vAlign w:val="center"/>
          </w:tcPr>
          <w:p w14:paraId="425E89B6" w14:textId="77777777" w:rsidR="003F3518" w:rsidRPr="0090787C" w:rsidRDefault="003F3518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hAnsi="HelveticaNeueLT Pro 55 Roman"/>
                <w:color w:val="000000"/>
                <w:sz w:val="18"/>
                <w:szCs w:val="18"/>
                <w:lang w:eastAsia="sv-SE"/>
              </w:rPr>
            </w:pPr>
            <w:r w:rsidRPr="0090787C">
              <w:rPr>
                <w:rFonts w:ascii="HelveticaNeueLT Pro 55 Roman" w:hAnsi="HelveticaNeueLT Pro 55 Roman"/>
                <w:color w:val="000000"/>
                <w:sz w:val="18"/>
                <w:szCs w:val="18"/>
                <w:lang w:eastAsia="sv-SE"/>
              </w:rPr>
              <w:t>0.42</w:t>
            </w:r>
          </w:p>
        </w:tc>
        <w:tc>
          <w:tcPr>
            <w:tcW w:w="1134" w:type="dxa"/>
            <w:noWrap/>
            <w:vAlign w:val="center"/>
          </w:tcPr>
          <w:p w14:paraId="3FD5F48B" w14:textId="77777777" w:rsidR="003F3518" w:rsidRPr="0090787C" w:rsidRDefault="003F3518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hAnsi="HelveticaNeueLT Pro 55 Roman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90787C">
              <w:rPr>
                <w:rFonts w:ascii="HelveticaNeueLT Pro 55 Roman" w:hAnsi="HelveticaNeueLT Pro 55 Roman"/>
                <w:b/>
                <w:bCs/>
                <w:color w:val="000000"/>
                <w:sz w:val="18"/>
                <w:szCs w:val="18"/>
                <w:lang w:eastAsia="sv-SE"/>
              </w:rPr>
              <w:t>13.00</w:t>
            </w:r>
          </w:p>
        </w:tc>
        <w:tc>
          <w:tcPr>
            <w:tcW w:w="1134" w:type="dxa"/>
            <w:noWrap/>
            <w:vAlign w:val="center"/>
          </w:tcPr>
          <w:p w14:paraId="0E1341C8" w14:textId="77777777" w:rsidR="003F3518" w:rsidRPr="0090787C" w:rsidRDefault="003F3518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hAnsi="HelveticaNeueLT Pro 55 Roman"/>
                <w:color w:val="000000"/>
                <w:sz w:val="18"/>
                <w:szCs w:val="18"/>
                <w:lang w:eastAsia="sv-SE"/>
              </w:rPr>
            </w:pPr>
            <w:r w:rsidRPr="0090787C">
              <w:rPr>
                <w:rFonts w:ascii="HelveticaNeueLT Pro 55 Roman" w:hAnsi="HelveticaNeueLT Pro 55 Roman"/>
                <w:color w:val="000000"/>
                <w:sz w:val="18"/>
                <w:szCs w:val="18"/>
                <w:lang w:eastAsia="sv-SE"/>
              </w:rPr>
              <w:t>12.73</w:t>
            </w:r>
          </w:p>
        </w:tc>
        <w:tc>
          <w:tcPr>
            <w:tcW w:w="1559" w:type="dxa"/>
            <w:noWrap/>
            <w:vAlign w:val="center"/>
          </w:tcPr>
          <w:p w14:paraId="13CF3B80" w14:textId="77777777" w:rsidR="003F3518" w:rsidRPr="0090787C" w:rsidRDefault="003F3518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hAnsi="HelveticaNeueLT Pro 55 Roman"/>
                <w:color w:val="000000"/>
                <w:sz w:val="18"/>
                <w:szCs w:val="18"/>
                <w:lang w:eastAsia="sv-SE"/>
              </w:rPr>
            </w:pPr>
            <w:r w:rsidRPr="0090787C">
              <w:rPr>
                <w:rFonts w:ascii="HelveticaNeueLT Pro 55 Roman" w:hAnsi="HelveticaNeueLT Pro 55 Roman"/>
                <w:color w:val="000000"/>
                <w:sz w:val="18"/>
                <w:szCs w:val="18"/>
                <w:lang w:eastAsia="sv-SE"/>
              </w:rPr>
              <w:t>2</w:t>
            </w:r>
          </w:p>
        </w:tc>
      </w:tr>
    </w:tbl>
    <w:p w14:paraId="5EFC0861" w14:textId="70D176D7" w:rsidR="003F3518" w:rsidRPr="00DD2CF4" w:rsidRDefault="00BB3657" w:rsidP="00BB3657">
      <w:pPr>
        <w:suppressAutoHyphens/>
        <w:spacing w:after="0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br/>
      </w:r>
    </w:p>
    <w:p w14:paraId="0BE42931" w14:textId="77777777" w:rsidR="00AC35B9" w:rsidRPr="001B4F29" w:rsidRDefault="001B4F29" w:rsidP="00ED0AB4">
      <w:pPr>
        <w:suppressAutoHyphens/>
        <w:spacing w:line="360" w:lineRule="auto"/>
        <w:rPr>
          <w:b/>
          <w:sz w:val="20"/>
          <w:szCs w:val="20"/>
        </w:rPr>
      </w:pPr>
      <w:r w:rsidRPr="001B4F29">
        <w:rPr>
          <w:b/>
          <w:sz w:val="20"/>
          <w:szCs w:val="20"/>
        </w:rPr>
        <w:t>Influence of individual experiments</w:t>
      </w:r>
    </w:p>
    <w:p w14:paraId="486DDC5B" w14:textId="2DA4412C" w:rsidR="002E0DFE" w:rsidRDefault="00030E2C" w:rsidP="00F24B98">
      <w:pPr>
        <w:suppressAutoHyphens/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Roughly half of the outcomes included in our meta-analyses derived from two large experiments in Finland (the EVO and FIRE studies</w:t>
      </w:r>
      <w:r w:rsidR="00BB3657">
        <w:rPr>
          <w:sz w:val="20"/>
          <w:szCs w:val="20"/>
        </w:rPr>
        <w:t xml:space="preserve">; </w:t>
      </w:r>
      <w:r w:rsidR="00BB3657">
        <w:rPr>
          <w:sz w:val="20"/>
          <w:szCs w:val="20"/>
          <w:lang w:val="en-US"/>
        </w:rPr>
        <w:t xml:space="preserve">Eriksson </w:t>
      </w:r>
      <w:r w:rsidR="00BB3657" w:rsidRPr="00D04209">
        <w:rPr>
          <w:i/>
          <w:sz w:val="20"/>
          <w:szCs w:val="20"/>
          <w:lang w:val="en-US"/>
        </w:rPr>
        <w:t>et al</w:t>
      </w:r>
      <w:r w:rsidR="00BB3657">
        <w:rPr>
          <w:sz w:val="20"/>
          <w:szCs w:val="20"/>
          <w:lang w:val="en-US"/>
        </w:rPr>
        <w:t xml:space="preserve">. 2006, Heikkala </w:t>
      </w:r>
      <w:r w:rsidR="00BB3657" w:rsidRPr="00D04209">
        <w:rPr>
          <w:i/>
          <w:sz w:val="20"/>
          <w:szCs w:val="20"/>
          <w:lang w:val="en-US"/>
        </w:rPr>
        <w:t>et al</w:t>
      </w:r>
      <w:r w:rsidR="00BB3657">
        <w:rPr>
          <w:sz w:val="20"/>
          <w:szCs w:val="20"/>
          <w:lang w:val="en-US"/>
        </w:rPr>
        <w:t xml:space="preserve">. 2016a, Heikkala </w:t>
      </w:r>
      <w:r w:rsidR="00BB3657" w:rsidRPr="00D04209">
        <w:rPr>
          <w:i/>
          <w:sz w:val="20"/>
          <w:szCs w:val="20"/>
          <w:lang w:val="en-US"/>
        </w:rPr>
        <w:t>et al</w:t>
      </w:r>
      <w:r w:rsidR="00BB3657">
        <w:rPr>
          <w:sz w:val="20"/>
          <w:szCs w:val="20"/>
          <w:lang w:val="en-US"/>
        </w:rPr>
        <w:t xml:space="preserve">. 2016b, Hyvärinen </w:t>
      </w:r>
      <w:r w:rsidR="00BB3657" w:rsidRPr="00150A19">
        <w:rPr>
          <w:i/>
          <w:sz w:val="20"/>
          <w:szCs w:val="20"/>
          <w:lang w:val="en-US"/>
        </w:rPr>
        <w:t>et al.</w:t>
      </w:r>
      <w:r w:rsidR="00BB3657">
        <w:rPr>
          <w:sz w:val="20"/>
          <w:szCs w:val="20"/>
          <w:lang w:val="en-US"/>
        </w:rPr>
        <w:t xml:space="preserve"> 2005, Hyvärinen </w:t>
      </w:r>
      <w:r w:rsidR="00BB3657" w:rsidRPr="00150A19">
        <w:rPr>
          <w:i/>
          <w:sz w:val="20"/>
          <w:szCs w:val="20"/>
          <w:lang w:val="en-US"/>
        </w:rPr>
        <w:t>et al</w:t>
      </w:r>
      <w:r w:rsidR="00BB3657">
        <w:rPr>
          <w:sz w:val="20"/>
          <w:szCs w:val="20"/>
          <w:lang w:val="en-US"/>
        </w:rPr>
        <w:t>. 2006,</w:t>
      </w:r>
      <w:r w:rsidR="00BB3657" w:rsidRPr="003A6C36">
        <w:rPr>
          <w:sz w:val="20"/>
          <w:szCs w:val="20"/>
          <w:lang w:val="en-US"/>
        </w:rPr>
        <w:t xml:space="preserve"> </w:t>
      </w:r>
      <w:r w:rsidR="00BB3657">
        <w:rPr>
          <w:sz w:val="20"/>
          <w:szCs w:val="20"/>
          <w:lang w:val="en-US"/>
        </w:rPr>
        <w:t xml:space="preserve">Hyvärinen </w:t>
      </w:r>
      <w:r w:rsidR="00BB3657" w:rsidRPr="00150A19">
        <w:rPr>
          <w:i/>
          <w:sz w:val="20"/>
          <w:szCs w:val="20"/>
          <w:lang w:val="en-US"/>
        </w:rPr>
        <w:t>et al</w:t>
      </w:r>
      <w:r w:rsidR="00BB3657">
        <w:rPr>
          <w:sz w:val="20"/>
          <w:szCs w:val="20"/>
          <w:lang w:val="en-US"/>
        </w:rPr>
        <w:t xml:space="preserve">. 2009, Junninen </w:t>
      </w:r>
      <w:r w:rsidR="00BB3657" w:rsidRPr="009F4A2E">
        <w:rPr>
          <w:i/>
          <w:sz w:val="20"/>
          <w:szCs w:val="20"/>
          <w:lang w:val="en-US"/>
        </w:rPr>
        <w:t>et al</w:t>
      </w:r>
      <w:r w:rsidR="00BB3657">
        <w:rPr>
          <w:sz w:val="20"/>
          <w:szCs w:val="20"/>
          <w:lang w:val="en-US"/>
        </w:rPr>
        <w:t xml:space="preserve">. 2008, Martikainen </w:t>
      </w:r>
      <w:r w:rsidR="00BB3657" w:rsidRPr="003C73C2">
        <w:rPr>
          <w:i/>
          <w:sz w:val="20"/>
          <w:szCs w:val="20"/>
          <w:lang w:val="en-US"/>
        </w:rPr>
        <w:t>et al</w:t>
      </w:r>
      <w:r w:rsidR="00BB3657">
        <w:rPr>
          <w:sz w:val="20"/>
          <w:szCs w:val="20"/>
          <w:lang w:val="en-US"/>
        </w:rPr>
        <w:t xml:space="preserve">. 2006, Pentillä </w:t>
      </w:r>
      <w:r w:rsidR="00BB3657" w:rsidRPr="003C73C2">
        <w:rPr>
          <w:i/>
          <w:sz w:val="20"/>
          <w:szCs w:val="20"/>
          <w:lang w:val="en-US"/>
        </w:rPr>
        <w:t>et al.</w:t>
      </w:r>
      <w:r w:rsidR="00BB3657">
        <w:rPr>
          <w:sz w:val="20"/>
          <w:szCs w:val="20"/>
          <w:lang w:val="en-US"/>
        </w:rPr>
        <w:t xml:space="preserve"> 2013, Pitkänen </w:t>
      </w:r>
      <w:r w:rsidR="00BB3657" w:rsidRPr="005972FC">
        <w:rPr>
          <w:i/>
          <w:sz w:val="20"/>
          <w:szCs w:val="20"/>
          <w:lang w:val="en-US"/>
        </w:rPr>
        <w:t>et al</w:t>
      </w:r>
      <w:r w:rsidR="00BB3657">
        <w:rPr>
          <w:sz w:val="20"/>
          <w:szCs w:val="20"/>
          <w:lang w:val="en-US"/>
        </w:rPr>
        <w:t xml:space="preserve">. 2008, Toivanen &amp; Kotiaho 2007, Toivanen </w:t>
      </w:r>
      <w:r w:rsidR="00BB3657" w:rsidRPr="003C73C2">
        <w:rPr>
          <w:i/>
          <w:sz w:val="20"/>
          <w:szCs w:val="20"/>
          <w:lang w:val="en-US"/>
        </w:rPr>
        <w:t>et al</w:t>
      </w:r>
      <w:r w:rsidR="00BB3657">
        <w:rPr>
          <w:sz w:val="20"/>
          <w:szCs w:val="20"/>
          <w:lang w:val="en-US"/>
        </w:rPr>
        <w:t xml:space="preserve">. 2009, Toivanen &amp; Kotiaho 2010, Toivanen </w:t>
      </w:r>
      <w:r w:rsidR="00BB3657" w:rsidRPr="000C1901">
        <w:rPr>
          <w:i/>
          <w:sz w:val="20"/>
          <w:szCs w:val="20"/>
          <w:lang w:val="en-US"/>
        </w:rPr>
        <w:t>et al</w:t>
      </w:r>
      <w:r w:rsidR="00BB3657">
        <w:rPr>
          <w:sz w:val="20"/>
          <w:szCs w:val="20"/>
          <w:lang w:val="en-US"/>
        </w:rPr>
        <w:t>. 2014</w:t>
      </w:r>
      <w:r>
        <w:rPr>
          <w:sz w:val="20"/>
          <w:szCs w:val="20"/>
        </w:rPr>
        <w:t xml:space="preserve">). </w:t>
      </w:r>
      <w:r w:rsidR="000E51DC">
        <w:rPr>
          <w:sz w:val="20"/>
          <w:szCs w:val="20"/>
        </w:rPr>
        <w:t xml:space="preserve">After having excluded all data from these two experiments, we repeated the analyses (where enough data remained) as a </w:t>
      </w:r>
      <w:r w:rsidR="003F3518">
        <w:rPr>
          <w:sz w:val="20"/>
          <w:szCs w:val="20"/>
        </w:rPr>
        <w:t xml:space="preserve">further </w:t>
      </w:r>
      <w:r w:rsidR="000E51DC">
        <w:rPr>
          <w:sz w:val="20"/>
          <w:szCs w:val="20"/>
        </w:rPr>
        <w:t xml:space="preserve">check of the robustness of our findings. </w:t>
      </w:r>
      <w:r w:rsidR="005F5529">
        <w:rPr>
          <w:sz w:val="20"/>
          <w:szCs w:val="20"/>
        </w:rPr>
        <w:t>The abundance of saproxylic pest insects, which responded positively to dead-wood manipulation based on data from all avai</w:t>
      </w:r>
      <w:r w:rsidR="005F5529">
        <w:rPr>
          <w:sz w:val="20"/>
          <w:szCs w:val="20"/>
        </w:rPr>
        <w:t xml:space="preserve">lable studies, showed no significant response when </w:t>
      </w:r>
      <w:r w:rsidR="000E51DC">
        <w:rPr>
          <w:sz w:val="20"/>
          <w:szCs w:val="20"/>
        </w:rPr>
        <w:t xml:space="preserve">EVO and FIRE data </w:t>
      </w:r>
      <w:r w:rsidR="005F5529">
        <w:rPr>
          <w:sz w:val="20"/>
          <w:szCs w:val="20"/>
        </w:rPr>
        <w:t xml:space="preserve">were excluded (Table </w:t>
      </w:r>
      <w:r w:rsidR="00A45216">
        <w:rPr>
          <w:sz w:val="20"/>
          <w:szCs w:val="20"/>
        </w:rPr>
        <w:t>A9-</w:t>
      </w:r>
      <w:r w:rsidR="003F3518">
        <w:rPr>
          <w:sz w:val="20"/>
          <w:szCs w:val="20"/>
        </w:rPr>
        <w:t>2</w:t>
      </w:r>
      <w:r w:rsidR="005F5529">
        <w:rPr>
          <w:sz w:val="20"/>
          <w:szCs w:val="20"/>
        </w:rPr>
        <w:t xml:space="preserve">). Otherwise, exclusion of data from these two experiments </w:t>
      </w:r>
      <w:r w:rsidR="000E51DC">
        <w:rPr>
          <w:sz w:val="20"/>
          <w:szCs w:val="20"/>
        </w:rPr>
        <w:t xml:space="preserve">did not </w:t>
      </w:r>
      <w:r w:rsidR="005F5529">
        <w:rPr>
          <w:sz w:val="20"/>
          <w:szCs w:val="20"/>
        </w:rPr>
        <w:t xml:space="preserve">affect the our results. </w:t>
      </w:r>
    </w:p>
    <w:p w14:paraId="7909B8F7" w14:textId="77777777" w:rsidR="00656C51" w:rsidRDefault="00BB3657" w:rsidP="00BB3657">
      <w:pPr>
        <w:suppressAutoHyphens/>
        <w:spacing w:after="0"/>
        <w:rPr>
          <w:rFonts w:ascii="HelveticaNeueLT Pro 55 Roman" w:hAnsi="HelveticaNeueLT Pro 55 Roman"/>
          <w:b/>
          <w:sz w:val="18"/>
          <w:szCs w:val="18"/>
        </w:rPr>
      </w:pPr>
      <w:r>
        <w:rPr>
          <w:sz w:val="20"/>
          <w:szCs w:val="20"/>
        </w:rPr>
        <w:br/>
      </w:r>
    </w:p>
    <w:p w14:paraId="2ED7C5B4" w14:textId="393DF898" w:rsidR="00656C51" w:rsidRDefault="00656C51" w:rsidP="00BB3657">
      <w:pPr>
        <w:suppressAutoHyphens/>
        <w:spacing w:after="0"/>
        <w:rPr>
          <w:rFonts w:ascii="HelveticaNeueLT Pro 55 Roman" w:hAnsi="HelveticaNeueLT Pro 55 Roman"/>
          <w:b/>
          <w:sz w:val="18"/>
          <w:szCs w:val="18"/>
        </w:rPr>
      </w:pPr>
    </w:p>
    <w:p w14:paraId="1976BDB5" w14:textId="77777777" w:rsidR="009D28D5" w:rsidRDefault="009D28D5" w:rsidP="00BB3657">
      <w:pPr>
        <w:suppressAutoHyphens/>
        <w:spacing w:after="0"/>
        <w:rPr>
          <w:rFonts w:ascii="HelveticaNeueLT Pro 55 Roman" w:hAnsi="HelveticaNeueLT Pro 55 Roman"/>
          <w:b/>
          <w:sz w:val="18"/>
          <w:szCs w:val="18"/>
        </w:rPr>
      </w:pPr>
    </w:p>
    <w:p w14:paraId="6105CAD2" w14:textId="7B49CDCA" w:rsidR="00BB3657" w:rsidRPr="00A45216" w:rsidRDefault="00BB3657" w:rsidP="00A45216">
      <w:pPr>
        <w:suppressAutoHyphens/>
        <w:spacing w:after="0"/>
        <w:jc w:val="center"/>
        <w:rPr>
          <w:rFonts w:ascii="HelveticaNeueLT Pro 55 Roman" w:hAnsi="HelveticaNeueLT Pro 55 Roman"/>
        </w:rPr>
      </w:pPr>
      <w:r w:rsidRPr="00A45216">
        <w:rPr>
          <w:rFonts w:ascii="HelveticaNeueLT Pro 55 Roman" w:hAnsi="HelveticaNeueLT Pro 55 Roman"/>
          <w:b/>
        </w:rPr>
        <w:t xml:space="preserve">Table </w:t>
      </w:r>
      <w:r w:rsidR="00A45216" w:rsidRPr="00A45216">
        <w:rPr>
          <w:rFonts w:ascii="HelveticaNeueLT Pro 55 Roman" w:hAnsi="HelveticaNeueLT Pro 55 Roman"/>
          <w:b/>
        </w:rPr>
        <w:t>A9-</w:t>
      </w:r>
      <w:r w:rsidRPr="00A45216">
        <w:rPr>
          <w:rFonts w:ascii="HelveticaNeueLT Pro 55 Roman" w:hAnsi="HelveticaNeueLT Pro 55 Roman"/>
          <w:b/>
        </w:rPr>
        <w:t>2.</w:t>
      </w:r>
      <w:r w:rsidRPr="00A45216">
        <w:rPr>
          <w:rFonts w:ascii="HelveticaNeueLT Pro 55 Roman" w:hAnsi="HelveticaNeueLT Pro 55 Roman"/>
        </w:rPr>
        <w:t xml:space="preserve"> </w:t>
      </w:r>
      <w:r w:rsidR="00E23CC2" w:rsidRPr="00A45216">
        <w:rPr>
          <w:rFonts w:ascii="HelveticaNeueLT Pro 55 Roman" w:hAnsi="HelveticaNeueLT Pro 55 Roman"/>
          <w:b/>
        </w:rPr>
        <w:t xml:space="preserve">Summary effect sizes with two big experiments (EVO and FIRE) </w:t>
      </w:r>
      <w:r w:rsidR="00A45216">
        <w:rPr>
          <w:rFonts w:ascii="HelveticaNeueLT Pro 55 Roman" w:hAnsi="HelveticaNeueLT Pro 55 Roman"/>
          <w:b/>
        </w:rPr>
        <w:br/>
        <w:t>included or excluded</w:t>
      </w:r>
      <w:r w:rsidR="00A45216">
        <w:rPr>
          <w:rFonts w:ascii="HelveticaNeueLT Pro 55 Roman" w:hAnsi="HelveticaNeueLT Pro 55 Roman"/>
          <w:b/>
        </w:rPr>
        <w:br/>
      </w:r>
    </w:p>
    <w:tbl>
      <w:tblPr>
        <w:tblStyle w:val="Tabellrutnt"/>
        <w:tblpPr w:leftFromText="141" w:rightFromText="141" w:vertAnchor="text" w:tblpY="169"/>
        <w:tblW w:w="9351" w:type="dxa"/>
        <w:tblLook w:val="04A0" w:firstRow="1" w:lastRow="0" w:firstColumn="1" w:lastColumn="0" w:noHBand="0" w:noVBand="1"/>
      </w:tblPr>
      <w:tblGrid>
        <w:gridCol w:w="2381"/>
        <w:gridCol w:w="1016"/>
        <w:gridCol w:w="851"/>
        <w:gridCol w:w="850"/>
        <w:gridCol w:w="709"/>
        <w:gridCol w:w="992"/>
        <w:gridCol w:w="993"/>
        <w:gridCol w:w="850"/>
        <w:gridCol w:w="709"/>
      </w:tblGrid>
      <w:tr w:rsidR="00BB3657" w:rsidRPr="00DD2CF4" w14:paraId="4E99067F" w14:textId="77777777" w:rsidTr="00E23CC2">
        <w:trPr>
          <w:trHeight w:val="328"/>
        </w:trPr>
        <w:tc>
          <w:tcPr>
            <w:tcW w:w="2381" w:type="dxa"/>
            <w:noWrap/>
            <w:hideMark/>
          </w:tcPr>
          <w:p w14:paraId="26C1BAA5" w14:textId="77777777" w:rsidR="00BB3657" w:rsidRPr="0090787C" w:rsidRDefault="00BB3657" w:rsidP="006D49DA">
            <w:pPr>
              <w:suppressAutoHyphens/>
              <w:spacing w:before="60" w:after="60" w:line="240" w:lineRule="auto"/>
              <w:rPr>
                <w:rFonts w:ascii="HelveticaNeueLT Pro 55 Roman" w:eastAsia="Times New Roman" w:hAnsi="HelveticaNeueLT Pro 55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3426" w:type="dxa"/>
            <w:gridSpan w:val="4"/>
            <w:noWrap/>
            <w:vAlign w:val="center"/>
            <w:hideMark/>
          </w:tcPr>
          <w:p w14:paraId="71221DD6" w14:textId="77777777" w:rsidR="00BB3657" w:rsidRPr="0090787C" w:rsidRDefault="00BB3657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eastAsia="Times New Roman" w:hAnsi="HelveticaNeueLT Pro 55 Roman" w:cs="Times New Roman"/>
                <w:sz w:val="18"/>
                <w:szCs w:val="18"/>
                <w:lang w:eastAsia="sv-SE"/>
              </w:rPr>
            </w:pPr>
            <w:r w:rsidRPr="0090787C"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  <w:t>All studies included</w:t>
            </w:r>
          </w:p>
        </w:tc>
        <w:tc>
          <w:tcPr>
            <w:tcW w:w="3544" w:type="dxa"/>
            <w:gridSpan w:val="4"/>
            <w:noWrap/>
            <w:vAlign w:val="center"/>
            <w:hideMark/>
          </w:tcPr>
          <w:p w14:paraId="44DF8909" w14:textId="77777777" w:rsidR="00BB3657" w:rsidRPr="0090787C" w:rsidRDefault="00BB3657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eastAsia="Times New Roman" w:hAnsi="HelveticaNeueLT Pro 55 Roman" w:cs="Times New Roman"/>
                <w:sz w:val="18"/>
                <w:szCs w:val="18"/>
                <w:lang w:eastAsia="sv-SE"/>
              </w:rPr>
            </w:pPr>
            <w:r w:rsidRPr="0090787C"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  <w:t>EVO and FIRE studies excluded</w:t>
            </w:r>
          </w:p>
        </w:tc>
      </w:tr>
      <w:tr w:rsidR="00BB3657" w:rsidRPr="00DD2CF4" w14:paraId="5AB7EC5C" w14:textId="77777777" w:rsidTr="00E23CC2">
        <w:trPr>
          <w:trHeight w:val="328"/>
        </w:trPr>
        <w:tc>
          <w:tcPr>
            <w:tcW w:w="2381" w:type="dxa"/>
            <w:noWrap/>
            <w:vAlign w:val="center"/>
            <w:hideMark/>
          </w:tcPr>
          <w:p w14:paraId="5F9B0303" w14:textId="77777777" w:rsidR="00BB3657" w:rsidRPr="0090787C" w:rsidRDefault="00BB3657" w:rsidP="006D49DA">
            <w:pPr>
              <w:suppressAutoHyphens/>
              <w:spacing w:before="60" w:after="60" w:line="240" w:lineRule="auto"/>
              <w:rPr>
                <w:rFonts w:ascii="HelveticaNeueLT Pro 55 Roman" w:eastAsia="Times New Roman" w:hAnsi="HelveticaNeueLT Pro 55 Roman" w:cs="Times New Roman"/>
                <w:b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016" w:type="dxa"/>
            <w:noWrap/>
            <w:vAlign w:val="center"/>
            <w:hideMark/>
          </w:tcPr>
          <w:p w14:paraId="58CF71DD" w14:textId="77777777" w:rsidR="00BB3657" w:rsidRPr="0090787C" w:rsidRDefault="00BB3657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</w:pPr>
            <w:r w:rsidRPr="0090787C"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  <w:t>SMD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14:paraId="29501B14" w14:textId="2CF00BC8" w:rsidR="00BB3657" w:rsidRPr="0090787C" w:rsidRDefault="00E23CC2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</w:pPr>
            <w:r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  <w:t xml:space="preserve">95% </w:t>
            </w:r>
            <w:r w:rsidR="00BB3657" w:rsidRPr="0090787C"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  <w:t>CI</w:t>
            </w:r>
          </w:p>
        </w:tc>
        <w:tc>
          <w:tcPr>
            <w:tcW w:w="709" w:type="dxa"/>
            <w:noWrap/>
            <w:vAlign w:val="center"/>
            <w:hideMark/>
          </w:tcPr>
          <w:p w14:paraId="012BA869" w14:textId="77777777" w:rsidR="00BB3657" w:rsidRPr="0090787C" w:rsidRDefault="00BB3657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eastAsia="Times New Roman" w:hAnsi="HelveticaNeueLT Pro 55 Roman" w:cs="Times New Roman"/>
                <w:sz w:val="18"/>
                <w:szCs w:val="18"/>
                <w:lang w:eastAsia="sv-SE"/>
              </w:rPr>
            </w:pPr>
            <w:r w:rsidRPr="0090787C"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  <w:t>n</w:t>
            </w:r>
          </w:p>
        </w:tc>
        <w:tc>
          <w:tcPr>
            <w:tcW w:w="992" w:type="dxa"/>
            <w:noWrap/>
            <w:vAlign w:val="center"/>
            <w:hideMark/>
          </w:tcPr>
          <w:p w14:paraId="02E864F8" w14:textId="77777777" w:rsidR="00BB3657" w:rsidRPr="0090787C" w:rsidRDefault="00BB3657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</w:pPr>
            <w:r w:rsidRPr="0090787C"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  <w:t>SMD</w:t>
            </w:r>
          </w:p>
        </w:tc>
        <w:tc>
          <w:tcPr>
            <w:tcW w:w="1843" w:type="dxa"/>
            <w:gridSpan w:val="2"/>
            <w:noWrap/>
            <w:vAlign w:val="center"/>
            <w:hideMark/>
          </w:tcPr>
          <w:p w14:paraId="287620A3" w14:textId="1000C7D5" w:rsidR="00BB3657" w:rsidRPr="0090787C" w:rsidRDefault="00E23CC2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</w:pPr>
            <w:r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  <w:t xml:space="preserve">95% </w:t>
            </w:r>
            <w:r w:rsidR="00BB3657" w:rsidRPr="0090787C"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  <w:t>CI</w:t>
            </w:r>
          </w:p>
        </w:tc>
        <w:tc>
          <w:tcPr>
            <w:tcW w:w="709" w:type="dxa"/>
            <w:noWrap/>
            <w:vAlign w:val="center"/>
            <w:hideMark/>
          </w:tcPr>
          <w:p w14:paraId="56CEE870" w14:textId="77777777" w:rsidR="00BB3657" w:rsidRPr="0090787C" w:rsidRDefault="00BB3657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eastAsia="Times New Roman" w:hAnsi="HelveticaNeueLT Pro 55 Roman" w:cs="Times New Roman"/>
                <w:sz w:val="18"/>
                <w:szCs w:val="18"/>
                <w:lang w:eastAsia="sv-SE"/>
              </w:rPr>
            </w:pPr>
            <w:r w:rsidRPr="0090787C"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  <w:t>n</w:t>
            </w:r>
          </w:p>
        </w:tc>
      </w:tr>
      <w:tr w:rsidR="00BB3657" w:rsidRPr="00DD2CF4" w14:paraId="05FD4AD8" w14:textId="77777777" w:rsidTr="00E23CC2">
        <w:trPr>
          <w:trHeight w:val="328"/>
        </w:trPr>
        <w:tc>
          <w:tcPr>
            <w:tcW w:w="2381" w:type="dxa"/>
            <w:noWrap/>
            <w:vAlign w:val="center"/>
            <w:hideMark/>
          </w:tcPr>
          <w:p w14:paraId="5CF37B82" w14:textId="77777777" w:rsidR="00BB3657" w:rsidRPr="0090787C" w:rsidRDefault="00BB3657" w:rsidP="006D49DA">
            <w:pPr>
              <w:suppressAutoHyphens/>
              <w:spacing w:before="60" w:after="60" w:line="240" w:lineRule="auto"/>
              <w:rPr>
                <w:rFonts w:ascii="HelveticaNeueLT Pro 55 Roman" w:eastAsia="Times New Roman" w:hAnsi="HelveticaNeueLT Pro 55 Roman" w:cs="Times New Roman"/>
                <w:b/>
                <w:sz w:val="18"/>
                <w:szCs w:val="18"/>
                <w:lang w:eastAsia="sv-SE"/>
              </w:rPr>
            </w:pPr>
            <w:r w:rsidRPr="0090787C">
              <w:rPr>
                <w:rFonts w:ascii="HelveticaNeueLT Pro 55 Roman" w:eastAsia="Times New Roman" w:hAnsi="HelveticaNeueLT Pro 55 Roman" w:cs="Times New Roman"/>
                <w:b/>
                <w:sz w:val="18"/>
                <w:szCs w:val="18"/>
                <w:lang w:eastAsia="sv-SE"/>
              </w:rPr>
              <w:t>Abundance</w:t>
            </w:r>
          </w:p>
        </w:tc>
        <w:tc>
          <w:tcPr>
            <w:tcW w:w="1016" w:type="dxa"/>
            <w:noWrap/>
            <w:vAlign w:val="center"/>
            <w:hideMark/>
          </w:tcPr>
          <w:p w14:paraId="03D60E43" w14:textId="77777777" w:rsidR="00BB3657" w:rsidRPr="0090787C" w:rsidRDefault="00BB3657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eastAsia="Times New Roman" w:hAnsi="HelveticaNeueLT Pro 55 Roman" w:cs="Times New Roman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90787C">
              <w:rPr>
                <w:rFonts w:ascii="HelveticaNeueLT Pro 55 Roman" w:eastAsia="Times New Roman" w:hAnsi="HelveticaNeueLT Pro 55 Roman" w:cs="Times New Roman"/>
                <w:b/>
                <w:bCs/>
                <w:color w:val="000000"/>
                <w:sz w:val="18"/>
                <w:szCs w:val="18"/>
                <w:lang w:eastAsia="sv-SE"/>
              </w:rPr>
              <w:t>Mean</w:t>
            </w:r>
          </w:p>
        </w:tc>
        <w:tc>
          <w:tcPr>
            <w:tcW w:w="851" w:type="dxa"/>
            <w:noWrap/>
            <w:vAlign w:val="center"/>
            <w:hideMark/>
          </w:tcPr>
          <w:p w14:paraId="45EDC042" w14:textId="77777777" w:rsidR="00BB3657" w:rsidRPr="0090787C" w:rsidRDefault="00BB3657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</w:pPr>
            <w:r w:rsidRPr="0090787C"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  <w:t>Low</w:t>
            </w:r>
          </w:p>
        </w:tc>
        <w:tc>
          <w:tcPr>
            <w:tcW w:w="850" w:type="dxa"/>
            <w:noWrap/>
            <w:vAlign w:val="center"/>
            <w:hideMark/>
          </w:tcPr>
          <w:p w14:paraId="4CF58C5A" w14:textId="77777777" w:rsidR="00BB3657" w:rsidRPr="0090787C" w:rsidRDefault="00BB3657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</w:pPr>
            <w:r w:rsidRPr="0090787C"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  <w:t>High</w:t>
            </w:r>
          </w:p>
        </w:tc>
        <w:tc>
          <w:tcPr>
            <w:tcW w:w="709" w:type="dxa"/>
            <w:noWrap/>
            <w:vAlign w:val="center"/>
            <w:hideMark/>
          </w:tcPr>
          <w:p w14:paraId="03163383" w14:textId="77777777" w:rsidR="00BB3657" w:rsidRPr="0090787C" w:rsidRDefault="00BB3657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05C2E1C4" w14:textId="77777777" w:rsidR="00BB3657" w:rsidRPr="0090787C" w:rsidRDefault="00BB3657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eastAsia="Times New Roman" w:hAnsi="HelveticaNeueLT Pro 55 Roman" w:cs="Times New Roman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90787C">
              <w:rPr>
                <w:rFonts w:ascii="HelveticaNeueLT Pro 55 Roman" w:eastAsia="Times New Roman" w:hAnsi="HelveticaNeueLT Pro 55 Roman" w:cs="Times New Roman"/>
                <w:b/>
                <w:bCs/>
                <w:color w:val="000000"/>
                <w:sz w:val="18"/>
                <w:szCs w:val="18"/>
                <w:lang w:eastAsia="sv-SE"/>
              </w:rPr>
              <w:t>Mean</w:t>
            </w:r>
          </w:p>
        </w:tc>
        <w:tc>
          <w:tcPr>
            <w:tcW w:w="993" w:type="dxa"/>
            <w:noWrap/>
            <w:vAlign w:val="center"/>
            <w:hideMark/>
          </w:tcPr>
          <w:p w14:paraId="205BC006" w14:textId="77777777" w:rsidR="00BB3657" w:rsidRPr="0090787C" w:rsidRDefault="00BB3657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</w:pPr>
            <w:r w:rsidRPr="0090787C"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  <w:t>Low</w:t>
            </w:r>
          </w:p>
        </w:tc>
        <w:tc>
          <w:tcPr>
            <w:tcW w:w="850" w:type="dxa"/>
            <w:noWrap/>
            <w:vAlign w:val="center"/>
            <w:hideMark/>
          </w:tcPr>
          <w:p w14:paraId="7AE269E7" w14:textId="77777777" w:rsidR="00BB3657" w:rsidRPr="0090787C" w:rsidRDefault="00BB3657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</w:pPr>
            <w:r w:rsidRPr="0090787C"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  <w:t>High</w:t>
            </w:r>
          </w:p>
        </w:tc>
        <w:tc>
          <w:tcPr>
            <w:tcW w:w="709" w:type="dxa"/>
            <w:noWrap/>
            <w:vAlign w:val="center"/>
            <w:hideMark/>
          </w:tcPr>
          <w:p w14:paraId="5B05BBAA" w14:textId="77777777" w:rsidR="00BB3657" w:rsidRPr="0090787C" w:rsidRDefault="00BB3657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</w:pPr>
          </w:p>
        </w:tc>
      </w:tr>
      <w:tr w:rsidR="00BB3657" w:rsidRPr="00DD2CF4" w14:paraId="562FE90C" w14:textId="77777777" w:rsidTr="00E23CC2">
        <w:trPr>
          <w:trHeight w:val="328"/>
        </w:trPr>
        <w:tc>
          <w:tcPr>
            <w:tcW w:w="2381" w:type="dxa"/>
            <w:noWrap/>
            <w:vAlign w:val="center"/>
            <w:hideMark/>
          </w:tcPr>
          <w:p w14:paraId="612CEB07" w14:textId="77777777" w:rsidR="00BB3657" w:rsidRPr="0090787C" w:rsidRDefault="00BB3657" w:rsidP="006D49DA">
            <w:pPr>
              <w:suppressAutoHyphens/>
              <w:spacing w:before="60" w:after="60" w:line="240" w:lineRule="auto"/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</w:pPr>
            <w:r w:rsidRPr="0090787C"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  <w:t>Saproxylic insects</w:t>
            </w:r>
          </w:p>
        </w:tc>
        <w:tc>
          <w:tcPr>
            <w:tcW w:w="1016" w:type="dxa"/>
            <w:noWrap/>
            <w:vAlign w:val="center"/>
          </w:tcPr>
          <w:p w14:paraId="13414BFB" w14:textId="77777777" w:rsidR="00BB3657" w:rsidRPr="0090787C" w:rsidRDefault="00BB3657" w:rsidP="006D49DA">
            <w:pPr>
              <w:spacing w:before="60" w:after="60" w:line="240" w:lineRule="auto"/>
              <w:jc w:val="center"/>
              <w:rPr>
                <w:rFonts w:ascii="HelveticaNeueLT Pro 55 Roman" w:hAnsi="HelveticaNeueLT Pro 55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0787C">
              <w:rPr>
                <w:rFonts w:ascii="HelveticaNeueLT Pro 55 Roman" w:hAnsi="HelveticaNeueLT Pro 55 Roman"/>
                <w:b/>
                <w:bCs/>
                <w:color w:val="000000"/>
                <w:sz w:val="18"/>
                <w:szCs w:val="18"/>
              </w:rPr>
              <w:t>0.85</w:t>
            </w:r>
          </w:p>
        </w:tc>
        <w:tc>
          <w:tcPr>
            <w:tcW w:w="851" w:type="dxa"/>
            <w:noWrap/>
            <w:vAlign w:val="center"/>
          </w:tcPr>
          <w:p w14:paraId="4B0C86E4" w14:textId="77777777" w:rsidR="00BB3657" w:rsidRPr="0090787C" w:rsidRDefault="00BB3657" w:rsidP="006D49DA">
            <w:pPr>
              <w:spacing w:before="60" w:after="60" w:line="240" w:lineRule="auto"/>
              <w:jc w:val="center"/>
              <w:rPr>
                <w:rFonts w:ascii="HelveticaNeueLT Pro 55 Roman" w:hAnsi="HelveticaNeueLT Pro 55 Roman"/>
                <w:color w:val="000000"/>
                <w:sz w:val="18"/>
                <w:szCs w:val="18"/>
              </w:rPr>
            </w:pPr>
            <w:r w:rsidRPr="0090787C">
              <w:rPr>
                <w:rFonts w:ascii="HelveticaNeueLT Pro 55 Roman" w:hAnsi="HelveticaNeueLT Pro 55 Roman"/>
                <w:color w:val="000000"/>
                <w:sz w:val="18"/>
                <w:szCs w:val="18"/>
              </w:rPr>
              <w:t>0.56</w:t>
            </w:r>
          </w:p>
        </w:tc>
        <w:tc>
          <w:tcPr>
            <w:tcW w:w="850" w:type="dxa"/>
            <w:noWrap/>
            <w:vAlign w:val="center"/>
          </w:tcPr>
          <w:p w14:paraId="3A9FC733" w14:textId="77777777" w:rsidR="00BB3657" w:rsidRPr="0090787C" w:rsidRDefault="00BB3657" w:rsidP="006D49DA">
            <w:pPr>
              <w:spacing w:before="60" w:after="60" w:line="240" w:lineRule="auto"/>
              <w:jc w:val="center"/>
              <w:rPr>
                <w:rFonts w:ascii="HelveticaNeueLT Pro 55 Roman" w:hAnsi="HelveticaNeueLT Pro 55 Roman"/>
                <w:color w:val="000000"/>
                <w:sz w:val="18"/>
                <w:szCs w:val="18"/>
              </w:rPr>
            </w:pPr>
            <w:r w:rsidRPr="0090787C">
              <w:rPr>
                <w:rFonts w:ascii="HelveticaNeueLT Pro 55 Roman" w:hAnsi="HelveticaNeueLT Pro 55 Roman"/>
                <w:color w:val="000000"/>
                <w:sz w:val="18"/>
                <w:szCs w:val="18"/>
              </w:rPr>
              <w:t>1.14</w:t>
            </w:r>
          </w:p>
        </w:tc>
        <w:tc>
          <w:tcPr>
            <w:tcW w:w="709" w:type="dxa"/>
            <w:noWrap/>
            <w:vAlign w:val="center"/>
          </w:tcPr>
          <w:p w14:paraId="1EA9B85C" w14:textId="77777777" w:rsidR="00BB3657" w:rsidRPr="0090787C" w:rsidRDefault="00BB3657" w:rsidP="006D49DA">
            <w:pPr>
              <w:spacing w:before="60" w:after="60" w:line="240" w:lineRule="auto"/>
              <w:jc w:val="center"/>
              <w:rPr>
                <w:rFonts w:ascii="HelveticaNeueLT Pro 55 Roman" w:hAnsi="HelveticaNeueLT Pro 55 Roman"/>
                <w:color w:val="000000"/>
                <w:sz w:val="18"/>
                <w:szCs w:val="18"/>
              </w:rPr>
            </w:pPr>
            <w:r w:rsidRPr="0090787C">
              <w:rPr>
                <w:rFonts w:ascii="HelveticaNeueLT Pro 55 Roman" w:hAnsi="HelveticaNeueLT Pro 55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992" w:type="dxa"/>
            <w:noWrap/>
            <w:vAlign w:val="center"/>
          </w:tcPr>
          <w:p w14:paraId="70126A2D" w14:textId="77777777" w:rsidR="00BB3657" w:rsidRPr="0090787C" w:rsidRDefault="00BB3657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eastAsia="Times New Roman" w:hAnsi="HelveticaNeueLT Pro 55 Roman" w:cs="Times New Roman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90787C">
              <w:rPr>
                <w:rFonts w:ascii="HelveticaNeueLT Pro 55 Roman" w:eastAsia="Times New Roman" w:hAnsi="HelveticaNeueLT Pro 55 Roman" w:cs="Times New Roman"/>
                <w:b/>
                <w:bCs/>
                <w:color w:val="000000"/>
                <w:sz w:val="18"/>
                <w:szCs w:val="18"/>
                <w:lang w:eastAsia="sv-SE"/>
              </w:rPr>
              <w:t>0.97</w:t>
            </w:r>
          </w:p>
        </w:tc>
        <w:tc>
          <w:tcPr>
            <w:tcW w:w="993" w:type="dxa"/>
            <w:noWrap/>
            <w:vAlign w:val="center"/>
          </w:tcPr>
          <w:p w14:paraId="0D802880" w14:textId="77777777" w:rsidR="00BB3657" w:rsidRPr="0090787C" w:rsidRDefault="00BB3657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</w:pPr>
            <w:r w:rsidRPr="0090787C"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  <w:t>0.52</w:t>
            </w:r>
          </w:p>
        </w:tc>
        <w:tc>
          <w:tcPr>
            <w:tcW w:w="850" w:type="dxa"/>
            <w:noWrap/>
            <w:vAlign w:val="center"/>
          </w:tcPr>
          <w:p w14:paraId="089E7C90" w14:textId="77777777" w:rsidR="00BB3657" w:rsidRPr="0090787C" w:rsidRDefault="00BB3657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</w:pPr>
            <w:r w:rsidRPr="0090787C"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  <w:t>1.41</w:t>
            </w:r>
          </w:p>
        </w:tc>
        <w:tc>
          <w:tcPr>
            <w:tcW w:w="709" w:type="dxa"/>
            <w:noWrap/>
            <w:vAlign w:val="center"/>
          </w:tcPr>
          <w:p w14:paraId="431D4D6B" w14:textId="77777777" w:rsidR="00BB3657" w:rsidRPr="0090787C" w:rsidRDefault="00BB3657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</w:pPr>
            <w:r w:rsidRPr="0090787C"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  <w:t>22</w:t>
            </w:r>
          </w:p>
        </w:tc>
      </w:tr>
      <w:tr w:rsidR="00BB3657" w:rsidRPr="00DD2CF4" w14:paraId="69BF8E09" w14:textId="77777777" w:rsidTr="00E23CC2">
        <w:trPr>
          <w:trHeight w:val="328"/>
        </w:trPr>
        <w:tc>
          <w:tcPr>
            <w:tcW w:w="2381" w:type="dxa"/>
            <w:noWrap/>
            <w:vAlign w:val="center"/>
          </w:tcPr>
          <w:p w14:paraId="070C4FC6" w14:textId="77777777" w:rsidR="00BB3657" w:rsidRPr="0090787C" w:rsidRDefault="00BB3657" w:rsidP="006D49DA">
            <w:pPr>
              <w:suppressAutoHyphens/>
              <w:spacing w:before="60" w:after="60" w:line="240" w:lineRule="auto"/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</w:pPr>
            <w:r w:rsidRPr="0090787C"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  <w:t>Saproxylic pest insects</w:t>
            </w:r>
          </w:p>
        </w:tc>
        <w:tc>
          <w:tcPr>
            <w:tcW w:w="1016" w:type="dxa"/>
            <w:noWrap/>
            <w:vAlign w:val="center"/>
          </w:tcPr>
          <w:p w14:paraId="7E5D0D4F" w14:textId="77777777" w:rsidR="00BB3657" w:rsidRPr="0090787C" w:rsidRDefault="00BB3657" w:rsidP="006D49DA">
            <w:pPr>
              <w:spacing w:before="60" w:after="60" w:line="240" w:lineRule="auto"/>
              <w:jc w:val="center"/>
              <w:rPr>
                <w:rFonts w:ascii="HelveticaNeueLT Pro 55 Roman" w:hAnsi="HelveticaNeueLT Pro 55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0787C">
              <w:rPr>
                <w:rFonts w:ascii="HelveticaNeueLT Pro 55 Roman" w:hAnsi="HelveticaNeueLT Pro 55 Roman"/>
                <w:b/>
                <w:bCs/>
                <w:color w:val="000000"/>
                <w:sz w:val="18"/>
                <w:szCs w:val="18"/>
              </w:rPr>
              <w:t>0.5</w:t>
            </w:r>
          </w:p>
        </w:tc>
        <w:tc>
          <w:tcPr>
            <w:tcW w:w="851" w:type="dxa"/>
            <w:noWrap/>
            <w:vAlign w:val="center"/>
          </w:tcPr>
          <w:p w14:paraId="52D47A3F" w14:textId="77777777" w:rsidR="00BB3657" w:rsidRPr="0090787C" w:rsidRDefault="00BB3657" w:rsidP="006D49DA">
            <w:pPr>
              <w:spacing w:before="60" w:after="60" w:line="240" w:lineRule="auto"/>
              <w:jc w:val="center"/>
              <w:rPr>
                <w:rFonts w:ascii="HelveticaNeueLT Pro 55 Roman" w:hAnsi="HelveticaNeueLT Pro 55 Roman"/>
                <w:color w:val="000000"/>
                <w:sz w:val="18"/>
                <w:szCs w:val="18"/>
              </w:rPr>
            </w:pPr>
            <w:r w:rsidRPr="0090787C">
              <w:rPr>
                <w:rFonts w:ascii="HelveticaNeueLT Pro 55 Roman" w:hAnsi="HelveticaNeueLT Pro 55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850" w:type="dxa"/>
            <w:noWrap/>
            <w:vAlign w:val="center"/>
          </w:tcPr>
          <w:p w14:paraId="3C62A81E" w14:textId="77777777" w:rsidR="00BB3657" w:rsidRPr="0090787C" w:rsidRDefault="00BB3657" w:rsidP="006D49DA">
            <w:pPr>
              <w:spacing w:before="60" w:after="60" w:line="240" w:lineRule="auto"/>
              <w:jc w:val="center"/>
              <w:rPr>
                <w:rFonts w:ascii="HelveticaNeueLT Pro 55 Roman" w:hAnsi="HelveticaNeueLT Pro 55 Roman"/>
                <w:color w:val="000000"/>
                <w:sz w:val="18"/>
                <w:szCs w:val="18"/>
              </w:rPr>
            </w:pPr>
            <w:r w:rsidRPr="0090787C">
              <w:rPr>
                <w:rFonts w:ascii="HelveticaNeueLT Pro 55 Roman" w:hAnsi="HelveticaNeueLT Pro 55 Roman"/>
                <w:color w:val="000000"/>
                <w:sz w:val="18"/>
                <w:szCs w:val="18"/>
              </w:rPr>
              <w:t>0.95</w:t>
            </w:r>
          </w:p>
        </w:tc>
        <w:tc>
          <w:tcPr>
            <w:tcW w:w="709" w:type="dxa"/>
            <w:noWrap/>
            <w:vAlign w:val="center"/>
          </w:tcPr>
          <w:p w14:paraId="2FD84996" w14:textId="77777777" w:rsidR="00BB3657" w:rsidRPr="0090787C" w:rsidRDefault="00BB3657" w:rsidP="006D49DA">
            <w:pPr>
              <w:spacing w:before="60" w:after="60" w:line="240" w:lineRule="auto"/>
              <w:jc w:val="center"/>
              <w:rPr>
                <w:rFonts w:ascii="HelveticaNeueLT Pro 55 Roman" w:hAnsi="HelveticaNeueLT Pro 55 Roman"/>
                <w:color w:val="000000"/>
                <w:sz w:val="18"/>
                <w:szCs w:val="18"/>
              </w:rPr>
            </w:pPr>
            <w:r w:rsidRPr="0090787C">
              <w:rPr>
                <w:rFonts w:ascii="HelveticaNeueLT Pro 55 Roman" w:hAnsi="HelveticaNeueLT Pro 55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92" w:type="dxa"/>
            <w:noWrap/>
            <w:vAlign w:val="center"/>
          </w:tcPr>
          <w:p w14:paraId="178BCC4C" w14:textId="77777777" w:rsidR="00BB3657" w:rsidRPr="0090787C" w:rsidRDefault="00BB3657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eastAsia="Times New Roman" w:hAnsi="HelveticaNeueLT Pro 55 Roman" w:cs="Times New Roman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90787C">
              <w:rPr>
                <w:rFonts w:ascii="HelveticaNeueLT Pro 55 Roman" w:eastAsia="Times New Roman" w:hAnsi="HelveticaNeueLT Pro 55 Roman" w:cs="Times New Roman"/>
                <w:b/>
                <w:bCs/>
                <w:color w:val="000000"/>
                <w:sz w:val="18"/>
                <w:szCs w:val="18"/>
                <w:lang w:eastAsia="sv-SE"/>
              </w:rPr>
              <w:t>0.65</w:t>
            </w:r>
          </w:p>
        </w:tc>
        <w:tc>
          <w:tcPr>
            <w:tcW w:w="993" w:type="dxa"/>
            <w:vAlign w:val="center"/>
          </w:tcPr>
          <w:p w14:paraId="69293A0D" w14:textId="77777777" w:rsidR="00BB3657" w:rsidRPr="0090787C" w:rsidRDefault="00BB3657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</w:pPr>
            <w:r w:rsidRPr="0090787C"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  <w:t>-0.21</w:t>
            </w:r>
          </w:p>
        </w:tc>
        <w:tc>
          <w:tcPr>
            <w:tcW w:w="850" w:type="dxa"/>
            <w:vAlign w:val="center"/>
          </w:tcPr>
          <w:p w14:paraId="6DA4F8A2" w14:textId="77777777" w:rsidR="00BB3657" w:rsidRPr="0090787C" w:rsidRDefault="00BB3657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</w:pPr>
            <w:r w:rsidRPr="0090787C"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  <w:t>1.5</w:t>
            </w:r>
          </w:p>
        </w:tc>
        <w:tc>
          <w:tcPr>
            <w:tcW w:w="709" w:type="dxa"/>
            <w:noWrap/>
            <w:vAlign w:val="center"/>
          </w:tcPr>
          <w:p w14:paraId="6CE35EFA" w14:textId="77777777" w:rsidR="00BB3657" w:rsidRPr="0090787C" w:rsidRDefault="00BB3657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</w:pPr>
            <w:r w:rsidRPr="0090787C"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  <w:t>3</w:t>
            </w:r>
          </w:p>
        </w:tc>
      </w:tr>
      <w:tr w:rsidR="00BB3657" w:rsidRPr="00DD2CF4" w14:paraId="38C9C18C" w14:textId="77777777" w:rsidTr="00E23CC2">
        <w:trPr>
          <w:trHeight w:val="328"/>
        </w:trPr>
        <w:tc>
          <w:tcPr>
            <w:tcW w:w="2381" w:type="dxa"/>
            <w:noWrap/>
            <w:vAlign w:val="center"/>
          </w:tcPr>
          <w:p w14:paraId="74B8DACA" w14:textId="77777777" w:rsidR="00BB3657" w:rsidRPr="0090787C" w:rsidRDefault="00BB3657" w:rsidP="006D49DA">
            <w:pPr>
              <w:suppressAutoHyphens/>
              <w:spacing w:before="60" w:after="60" w:line="240" w:lineRule="auto"/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</w:pPr>
            <w:r w:rsidRPr="0090787C"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  <w:t>Beetles (unspecified)</w:t>
            </w:r>
          </w:p>
        </w:tc>
        <w:tc>
          <w:tcPr>
            <w:tcW w:w="1016" w:type="dxa"/>
            <w:noWrap/>
            <w:vAlign w:val="center"/>
          </w:tcPr>
          <w:p w14:paraId="72AE6A52" w14:textId="77777777" w:rsidR="00BB3657" w:rsidRPr="0090787C" w:rsidRDefault="00BB3657" w:rsidP="006D49DA">
            <w:pPr>
              <w:spacing w:before="60" w:after="60" w:line="240" w:lineRule="auto"/>
              <w:jc w:val="center"/>
              <w:rPr>
                <w:rFonts w:ascii="HelveticaNeueLT Pro 55 Roman" w:hAnsi="HelveticaNeueLT Pro 55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0787C">
              <w:rPr>
                <w:rFonts w:ascii="HelveticaNeueLT Pro 55 Roman" w:hAnsi="HelveticaNeueLT Pro 55 Roman"/>
                <w:b/>
                <w:bCs/>
                <w:color w:val="000000"/>
                <w:sz w:val="18"/>
                <w:szCs w:val="18"/>
              </w:rPr>
              <w:t>1.4</w:t>
            </w:r>
          </w:p>
        </w:tc>
        <w:tc>
          <w:tcPr>
            <w:tcW w:w="851" w:type="dxa"/>
            <w:noWrap/>
            <w:vAlign w:val="center"/>
          </w:tcPr>
          <w:p w14:paraId="2831BE35" w14:textId="77777777" w:rsidR="00BB3657" w:rsidRPr="0090787C" w:rsidRDefault="00BB3657" w:rsidP="006D49DA">
            <w:pPr>
              <w:spacing w:before="60" w:after="60" w:line="240" w:lineRule="auto"/>
              <w:jc w:val="center"/>
              <w:rPr>
                <w:rFonts w:ascii="HelveticaNeueLT Pro 55 Roman" w:hAnsi="HelveticaNeueLT Pro 55 Roman"/>
                <w:color w:val="000000"/>
                <w:sz w:val="18"/>
                <w:szCs w:val="18"/>
              </w:rPr>
            </w:pPr>
            <w:r w:rsidRPr="0090787C">
              <w:rPr>
                <w:rFonts w:ascii="HelveticaNeueLT Pro 55 Roman" w:hAnsi="HelveticaNeueLT Pro 55 Roman"/>
                <w:color w:val="000000"/>
                <w:sz w:val="18"/>
                <w:szCs w:val="18"/>
              </w:rPr>
              <w:t>0.36</w:t>
            </w:r>
          </w:p>
        </w:tc>
        <w:tc>
          <w:tcPr>
            <w:tcW w:w="850" w:type="dxa"/>
            <w:noWrap/>
            <w:vAlign w:val="center"/>
          </w:tcPr>
          <w:p w14:paraId="175AB8D2" w14:textId="77777777" w:rsidR="00BB3657" w:rsidRPr="0090787C" w:rsidRDefault="00BB3657" w:rsidP="006D49DA">
            <w:pPr>
              <w:spacing w:before="60" w:after="60" w:line="240" w:lineRule="auto"/>
              <w:jc w:val="center"/>
              <w:rPr>
                <w:rFonts w:ascii="HelveticaNeueLT Pro 55 Roman" w:hAnsi="HelveticaNeueLT Pro 55 Roman"/>
                <w:color w:val="000000"/>
                <w:sz w:val="18"/>
                <w:szCs w:val="18"/>
              </w:rPr>
            </w:pPr>
            <w:r w:rsidRPr="0090787C">
              <w:rPr>
                <w:rFonts w:ascii="HelveticaNeueLT Pro 55 Roman" w:hAnsi="HelveticaNeueLT Pro 55 Roman"/>
                <w:color w:val="000000"/>
                <w:sz w:val="18"/>
                <w:szCs w:val="18"/>
              </w:rPr>
              <w:t>2.43</w:t>
            </w:r>
          </w:p>
        </w:tc>
        <w:tc>
          <w:tcPr>
            <w:tcW w:w="709" w:type="dxa"/>
            <w:noWrap/>
            <w:vAlign w:val="center"/>
          </w:tcPr>
          <w:p w14:paraId="0E71014C" w14:textId="77777777" w:rsidR="00BB3657" w:rsidRPr="0090787C" w:rsidRDefault="00BB3657" w:rsidP="006D49DA">
            <w:pPr>
              <w:spacing w:before="60" w:after="60" w:line="240" w:lineRule="auto"/>
              <w:jc w:val="center"/>
              <w:rPr>
                <w:rFonts w:ascii="HelveticaNeueLT Pro 55 Roman" w:hAnsi="HelveticaNeueLT Pro 55 Roman"/>
                <w:color w:val="000000"/>
                <w:sz w:val="18"/>
                <w:szCs w:val="18"/>
              </w:rPr>
            </w:pPr>
            <w:r w:rsidRPr="0090787C">
              <w:rPr>
                <w:rFonts w:ascii="HelveticaNeueLT Pro 55 Roman" w:hAnsi="HelveticaNeueLT Pro 55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noWrap/>
            <w:vAlign w:val="center"/>
          </w:tcPr>
          <w:p w14:paraId="204B6C25" w14:textId="77777777" w:rsidR="00BB3657" w:rsidRPr="0090787C" w:rsidRDefault="00BB3657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eastAsia="Times New Roman" w:hAnsi="HelveticaNeueLT Pro 55 Roman" w:cs="Times New Roman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90787C">
              <w:rPr>
                <w:rFonts w:ascii="HelveticaNeueLT Pro 55 Roman" w:eastAsia="Times New Roman" w:hAnsi="HelveticaNeueLT Pro 55 Roman" w:cs="Times New Roman"/>
                <w:b/>
                <w:bCs/>
                <w:color w:val="000000"/>
                <w:sz w:val="18"/>
                <w:szCs w:val="18"/>
                <w:lang w:eastAsia="sv-SE"/>
              </w:rPr>
              <w:t>1.4</w:t>
            </w:r>
          </w:p>
        </w:tc>
        <w:tc>
          <w:tcPr>
            <w:tcW w:w="993" w:type="dxa"/>
            <w:vAlign w:val="center"/>
          </w:tcPr>
          <w:p w14:paraId="08808F60" w14:textId="77777777" w:rsidR="00BB3657" w:rsidRPr="0090787C" w:rsidRDefault="00BB3657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</w:pPr>
            <w:r w:rsidRPr="0090787C"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  <w:t>0.36</w:t>
            </w:r>
          </w:p>
        </w:tc>
        <w:tc>
          <w:tcPr>
            <w:tcW w:w="850" w:type="dxa"/>
            <w:vAlign w:val="center"/>
          </w:tcPr>
          <w:p w14:paraId="470917BD" w14:textId="77777777" w:rsidR="00BB3657" w:rsidRPr="0090787C" w:rsidRDefault="00BB3657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</w:pPr>
            <w:r w:rsidRPr="0090787C"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  <w:t>2.43</w:t>
            </w:r>
          </w:p>
        </w:tc>
        <w:tc>
          <w:tcPr>
            <w:tcW w:w="709" w:type="dxa"/>
            <w:noWrap/>
            <w:vAlign w:val="center"/>
          </w:tcPr>
          <w:p w14:paraId="42E07A89" w14:textId="77777777" w:rsidR="00BB3657" w:rsidRPr="0090787C" w:rsidRDefault="00BB3657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</w:pPr>
            <w:r w:rsidRPr="0090787C"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  <w:t>3</w:t>
            </w:r>
          </w:p>
        </w:tc>
      </w:tr>
      <w:tr w:rsidR="00BB3657" w:rsidRPr="00DD2CF4" w14:paraId="136BF13E" w14:textId="77777777" w:rsidTr="00E23CC2">
        <w:trPr>
          <w:trHeight w:val="328"/>
        </w:trPr>
        <w:tc>
          <w:tcPr>
            <w:tcW w:w="2381" w:type="dxa"/>
            <w:noWrap/>
            <w:vAlign w:val="center"/>
            <w:hideMark/>
          </w:tcPr>
          <w:p w14:paraId="2F12E14A" w14:textId="77777777" w:rsidR="00BB3657" w:rsidRPr="0090787C" w:rsidRDefault="00BB3657" w:rsidP="006D49DA">
            <w:pPr>
              <w:suppressAutoHyphens/>
              <w:spacing w:before="60" w:after="60" w:line="240" w:lineRule="auto"/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</w:pPr>
            <w:r w:rsidRPr="0090787C"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  <w:t>Ground insects</w:t>
            </w:r>
          </w:p>
        </w:tc>
        <w:tc>
          <w:tcPr>
            <w:tcW w:w="1016" w:type="dxa"/>
            <w:noWrap/>
            <w:vAlign w:val="center"/>
          </w:tcPr>
          <w:p w14:paraId="0259AE07" w14:textId="77777777" w:rsidR="00BB3657" w:rsidRPr="0090787C" w:rsidRDefault="00BB3657" w:rsidP="006D49DA">
            <w:pPr>
              <w:spacing w:before="60" w:after="60" w:line="240" w:lineRule="auto"/>
              <w:jc w:val="center"/>
              <w:rPr>
                <w:rFonts w:ascii="HelveticaNeueLT Pro 55 Roman" w:hAnsi="HelveticaNeueLT Pro 55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0787C">
              <w:rPr>
                <w:rFonts w:ascii="HelveticaNeueLT Pro 55 Roman" w:hAnsi="HelveticaNeueLT Pro 55 Roman"/>
                <w:b/>
                <w:bCs/>
                <w:color w:val="000000"/>
                <w:sz w:val="18"/>
                <w:szCs w:val="18"/>
              </w:rPr>
              <w:t>-0.67</w:t>
            </w:r>
          </w:p>
        </w:tc>
        <w:tc>
          <w:tcPr>
            <w:tcW w:w="851" w:type="dxa"/>
            <w:noWrap/>
            <w:vAlign w:val="center"/>
          </w:tcPr>
          <w:p w14:paraId="4575E35D" w14:textId="77777777" w:rsidR="00BB3657" w:rsidRPr="0090787C" w:rsidRDefault="00BB3657" w:rsidP="006D49DA">
            <w:pPr>
              <w:spacing w:before="60" w:after="60" w:line="240" w:lineRule="auto"/>
              <w:jc w:val="center"/>
              <w:rPr>
                <w:rFonts w:ascii="HelveticaNeueLT Pro 55 Roman" w:hAnsi="HelveticaNeueLT Pro 55 Roman"/>
                <w:color w:val="000000"/>
                <w:sz w:val="18"/>
                <w:szCs w:val="18"/>
              </w:rPr>
            </w:pPr>
            <w:r w:rsidRPr="0090787C">
              <w:rPr>
                <w:rFonts w:ascii="HelveticaNeueLT Pro 55 Roman" w:hAnsi="HelveticaNeueLT Pro 55 Roman"/>
                <w:color w:val="000000"/>
                <w:sz w:val="18"/>
                <w:szCs w:val="18"/>
              </w:rPr>
              <w:t>-1.94</w:t>
            </w:r>
          </w:p>
        </w:tc>
        <w:tc>
          <w:tcPr>
            <w:tcW w:w="850" w:type="dxa"/>
            <w:noWrap/>
            <w:vAlign w:val="center"/>
          </w:tcPr>
          <w:p w14:paraId="56A02FB1" w14:textId="77777777" w:rsidR="00BB3657" w:rsidRPr="0090787C" w:rsidRDefault="00BB3657" w:rsidP="006D49DA">
            <w:pPr>
              <w:spacing w:before="60" w:after="60" w:line="240" w:lineRule="auto"/>
              <w:jc w:val="center"/>
              <w:rPr>
                <w:rFonts w:ascii="HelveticaNeueLT Pro 55 Roman" w:hAnsi="HelveticaNeueLT Pro 55 Roman"/>
                <w:color w:val="000000"/>
                <w:sz w:val="18"/>
                <w:szCs w:val="18"/>
              </w:rPr>
            </w:pPr>
            <w:r w:rsidRPr="0090787C">
              <w:rPr>
                <w:rFonts w:ascii="HelveticaNeueLT Pro 55 Roman" w:hAnsi="HelveticaNeueLT Pro 55 Roman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709" w:type="dxa"/>
            <w:noWrap/>
            <w:vAlign w:val="center"/>
          </w:tcPr>
          <w:p w14:paraId="5A528007" w14:textId="77777777" w:rsidR="00BB3657" w:rsidRPr="0090787C" w:rsidRDefault="00BB3657" w:rsidP="006D49DA">
            <w:pPr>
              <w:spacing w:before="60" w:after="60" w:line="240" w:lineRule="auto"/>
              <w:jc w:val="center"/>
              <w:rPr>
                <w:rFonts w:ascii="HelveticaNeueLT Pro 55 Roman" w:hAnsi="HelveticaNeueLT Pro 55 Roman"/>
                <w:color w:val="000000"/>
                <w:sz w:val="18"/>
                <w:szCs w:val="18"/>
              </w:rPr>
            </w:pPr>
            <w:r w:rsidRPr="0090787C">
              <w:rPr>
                <w:rFonts w:ascii="HelveticaNeueLT Pro 55 Roman" w:hAnsi="HelveticaNeueLT Pro 55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noWrap/>
            <w:vAlign w:val="center"/>
          </w:tcPr>
          <w:p w14:paraId="2A066782" w14:textId="77777777" w:rsidR="00BB3657" w:rsidRPr="0090787C" w:rsidRDefault="00BB3657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eastAsia="Times New Roman" w:hAnsi="HelveticaNeueLT Pro 55 Roman" w:cs="Times New Roman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90787C">
              <w:rPr>
                <w:rFonts w:ascii="HelveticaNeueLT Pro 55 Roman" w:eastAsia="Times New Roman" w:hAnsi="HelveticaNeueLT Pro 55 Roman" w:cs="Times New Roman"/>
                <w:b/>
                <w:bCs/>
                <w:color w:val="000000"/>
                <w:sz w:val="18"/>
                <w:szCs w:val="18"/>
                <w:lang w:eastAsia="sv-SE"/>
              </w:rPr>
              <w:t>-0.13</w:t>
            </w:r>
          </w:p>
        </w:tc>
        <w:tc>
          <w:tcPr>
            <w:tcW w:w="993" w:type="dxa"/>
            <w:noWrap/>
            <w:vAlign w:val="center"/>
          </w:tcPr>
          <w:p w14:paraId="52BDAD55" w14:textId="77777777" w:rsidR="00BB3657" w:rsidRPr="0090787C" w:rsidRDefault="00BB3657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</w:pPr>
            <w:r w:rsidRPr="0090787C"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  <w:t>-1.07</w:t>
            </w:r>
          </w:p>
        </w:tc>
        <w:tc>
          <w:tcPr>
            <w:tcW w:w="850" w:type="dxa"/>
            <w:noWrap/>
            <w:vAlign w:val="center"/>
          </w:tcPr>
          <w:p w14:paraId="51AF7E2E" w14:textId="77777777" w:rsidR="00BB3657" w:rsidRPr="0090787C" w:rsidRDefault="00BB3657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</w:pPr>
            <w:r w:rsidRPr="0090787C"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  <w:t>0.81</w:t>
            </w:r>
          </w:p>
        </w:tc>
        <w:tc>
          <w:tcPr>
            <w:tcW w:w="709" w:type="dxa"/>
            <w:noWrap/>
            <w:vAlign w:val="center"/>
          </w:tcPr>
          <w:p w14:paraId="54887E8E" w14:textId="77777777" w:rsidR="00BB3657" w:rsidRPr="0090787C" w:rsidRDefault="00BB3657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</w:pPr>
            <w:r w:rsidRPr="0090787C"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  <w:t>4</w:t>
            </w:r>
          </w:p>
        </w:tc>
      </w:tr>
      <w:tr w:rsidR="00BB3657" w:rsidRPr="00DD2CF4" w14:paraId="1EA4F981" w14:textId="77777777" w:rsidTr="00E23CC2">
        <w:trPr>
          <w:trHeight w:val="328"/>
        </w:trPr>
        <w:tc>
          <w:tcPr>
            <w:tcW w:w="2381" w:type="dxa"/>
            <w:noWrap/>
            <w:vAlign w:val="center"/>
          </w:tcPr>
          <w:p w14:paraId="2F12A154" w14:textId="77777777" w:rsidR="00BB3657" w:rsidRPr="0090787C" w:rsidRDefault="00BB3657" w:rsidP="006D49DA">
            <w:pPr>
              <w:suppressAutoHyphens/>
              <w:spacing w:before="60" w:after="60" w:line="240" w:lineRule="auto"/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</w:pPr>
            <w:r w:rsidRPr="0090787C"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  <w:t>Wood-inhabiting fungi</w:t>
            </w:r>
          </w:p>
        </w:tc>
        <w:tc>
          <w:tcPr>
            <w:tcW w:w="1016" w:type="dxa"/>
            <w:noWrap/>
            <w:vAlign w:val="center"/>
          </w:tcPr>
          <w:p w14:paraId="78C3EA21" w14:textId="77777777" w:rsidR="00BB3657" w:rsidRPr="0090787C" w:rsidRDefault="00BB3657" w:rsidP="006D49DA">
            <w:pPr>
              <w:spacing w:before="60" w:after="60" w:line="240" w:lineRule="auto"/>
              <w:jc w:val="center"/>
              <w:rPr>
                <w:rFonts w:ascii="HelveticaNeueLT Pro 55 Roman" w:hAnsi="HelveticaNeueLT Pro 55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0787C">
              <w:rPr>
                <w:rFonts w:ascii="HelveticaNeueLT Pro 55 Roman" w:hAnsi="HelveticaNeueLT Pro 55 Roman"/>
                <w:b/>
                <w:bCs/>
                <w:color w:val="000000"/>
                <w:sz w:val="18"/>
                <w:szCs w:val="18"/>
              </w:rPr>
              <w:t>2.75</w:t>
            </w:r>
          </w:p>
        </w:tc>
        <w:tc>
          <w:tcPr>
            <w:tcW w:w="851" w:type="dxa"/>
            <w:noWrap/>
            <w:vAlign w:val="center"/>
          </w:tcPr>
          <w:p w14:paraId="0EF9F34B" w14:textId="77777777" w:rsidR="00BB3657" w:rsidRPr="0090787C" w:rsidRDefault="00BB3657" w:rsidP="006D49DA">
            <w:pPr>
              <w:spacing w:before="60" w:after="60" w:line="240" w:lineRule="auto"/>
              <w:jc w:val="center"/>
              <w:rPr>
                <w:rFonts w:ascii="HelveticaNeueLT Pro 55 Roman" w:hAnsi="HelveticaNeueLT Pro 55 Roman"/>
                <w:color w:val="000000"/>
                <w:sz w:val="18"/>
                <w:szCs w:val="18"/>
              </w:rPr>
            </w:pPr>
            <w:r w:rsidRPr="0090787C">
              <w:rPr>
                <w:rFonts w:ascii="HelveticaNeueLT Pro 55 Roman" w:hAnsi="HelveticaNeueLT Pro 55 Roman"/>
                <w:color w:val="000000"/>
                <w:sz w:val="18"/>
                <w:szCs w:val="18"/>
              </w:rPr>
              <w:t>1.44</w:t>
            </w:r>
          </w:p>
        </w:tc>
        <w:tc>
          <w:tcPr>
            <w:tcW w:w="850" w:type="dxa"/>
            <w:noWrap/>
            <w:vAlign w:val="center"/>
          </w:tcPr>
          <w:p w14:paraId="25F74F1A" w14:textId="77777777" w:rsidR="00BB3657" w:rsidRPr="0090787C" w:rsidRDefault="00BB3657" w:rsidP="006D49DA">
            <w:pPr>
              <w:spacing w:before="60" w:after="60" w:line="240" w:lineRule="auto"/>
              <w:jc w:val="center"/>
              <w:rPr>
                <w:rFonts w:ascii="HelveticaNeueLT Pro 55 Roman" w:hAnsi="HelveticaNeueLT Pro 55 Roman"/>
                <w:color w:val="000000"/>
                <w:sz w:val="18"/>
                <w:szCs w:val="18"/>
              </w:rPr>
            </w:pPr>
            <w:r w:rsidRPr="0090787C">
              <w:rPr>
                <w:rFonts w:ascii="HelveticaNeueLT Pro 55 Roman" w:hAnsi="HelveticaNeueLT Pro 55 Roman"/>
                <w:color w:val="000000"/>
                <w:sz w:val="18"/>
                <w:szCs w:val="18"/>
              </w:rPr>
              <w:t>4.05</w:t>
            </w:r>
          </w:p>
        </w:tc>
        <w:tc>
          <w:tcPr>
            <w:tcW w:w="709" w:type="dxa"/>
            <w:noWrap/>
            <w:vAlign w:val="center"/>
          </w:tcPr>
          <w:p w14:paraId="1BA25D88" w14:textId="77777777" w:rsidR="00BB3657" w:rsidRPr="0090787C" w:rsidRDefault="00BB3657" w:rsidP="006D49DA">
            <w:pPr>
              <w:spacing w:before="60" w:after="60" w:line="240" w:lineRule="auto"/>
              <w:jc w:val="center"/>
              <w:rPr>
                <w:rFonts w:ascii="HelveticaNeueLT Pro 55 Roman" w:hAnsi="HelveticaNeueLT Pro 55 Roman"/>
                <w:color w:val="000000"/>
                <w:sz w:val="18"/>
                <w:szCs w:val="18"/>
              </w:rPr>
            </w:pPr>
            <w:r w:rsidRPr="0090787C">
              <w:rPr>
                <w:rFonts w:ascii="HelveticaNeueLT Pro 55 Roman" w:hAnsi="HelveticaNeueLT Pro 55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noWrap/>
            <w:vAlign w:val="center"/>
          </w:tcPr>
          <w:p w14:paraId="3EEAF004" w14:textId="77777777" w:rsidR="00BB3657" w:rsidRPr="0090787C" w:rsidRDefault="00BB3657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eastAsia="Times New Roman" w:hAnsi="HelveticaNeueLT Pro 55 Roman" w:cs="Times New Roman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90787C">
              <w:rPr>
                <w:rFonts w:ascii="HelveticaNeueLT Pro 55 Roman" w:eastAsia="Times New Roman" w:hAnsi="HelveticaNeueLT Pro 55 Roman" w:cs="Times New Roman"/>
                <w:b/>
                <w:bCs/>
                <w:color w:val="000000"/>
                <w:sz w:val="18"/>
                <w:szCs w:val="18"/>
                <w:lang w:eastAsia="sv-SE"/>
              </w:rPr>
              <w:t>3.38</w:t>
            </w:r>
          </w:p>
        </w:tc>
        <w:tc>
          <w:tcPr>
            <w:tcW w:w="993" w:type="dxa"/>
            <w:noWrap/>
            <w:vAlign w:val="center"/>
          </w:tcPr>
          <w:p w14:paraId="5606997A" w14:textId="77777777" w:rsidR="00BB3657" w:rsidRPr="0090787C" w:rsidRDefault="00BB3657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</w:pPr>
            <w:r w:rsidRPr="0090787C"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  <w:t>2.54</w:t>
            </w:r>
          </w:p>
        </w:tc>
        <w:tc>
          <w:tcPr>
            <w:tcW w:w="850" w:type="dxa"/>
            <w:noWrap/>
            <w:vAlign w:val="center"/>
          </w:tcPr>
          <w:p w14:paraId="563AB6DC" w14:textId="77777777" w:rsidR="00BB3657" w:rsidRPr="0090787C" w:rsidRDefault="00BB3657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</w:pPr>
            <w:r w:rsidRPr="0090787C"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  <w:t>4.23</w:t>
            </w:r>
          </w:p>
        </w:tc>
        <w:tc>
          <w:tcPr>
            <w:tcW w:w="709" w:type="dxa"/>
            <w:noWrap/>
            <w:vAlign w:val="center"/>
          </w:tcPr>
          <w:p w14:paraId="2585F216" w14:textId="77777777" w:rsidR="00BB3657" w:rsidRPr="0090787C" w:rsidRDefault="00BB3657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</w:pPr>
            <w:r w:rsidRPr="0090787C"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  <w:t>3</w:t>
            </w:r>
          </w:p>
        </w:tc>
      </w:tr>
      <w:tr w:rsidR="00BB3657" w:rsidRPr="00DD2CF4" w14:paraId="00A01007" w14:textId="77777777" w:rsidTr="00E23CC2">
        <w:trPr>
          <w:trHeight w:val="328"/>
        </w:trPr>
        <w:tc>
          <w:tcPr>
            <w:tcW w:w="2381" w:type="dxa"/>
            <w:noWrap/>
            <w:vAlign w:val="center"/>
          </w:tcPr>
          <w:p w14:paraId="3A049697" w14:textId="77777777" w:rsidR="00BB3657" w:rsidRPr="0090787C" w:rsidRDefault="00BB3657" w:rsidP="006D49DA">
            <w:pPr>
              <w:suppressAutoHyphens/>
              <w:spacing w:before="60" w:after="60" w:line="240" w:lineRule="auto"/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016" w:type="dxa"/>
            <w:noWrap/>
            <w:vAlign w:val="center"/>
          </w:tcPr>
          <w:p w14:paraId="5D11F8B1" w14:textId="77777777" w:rsidR="00BB3657" w:rsidRPr="0090787C" w:rsidRDefault="00BB3657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eastAsia="Times New Roman" w:hAnsi="HelveticaNeueLT Pro 55 Roman" w:cs="Times New Roman"/>
                <w:b/>
                <w:bCs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851" w:type="dxa"/>
            <w:noWrap/>
            <w:vAlign w:val="center"/>
          </w:tcPr>
          <w:p w14:paraId="157E9657" w14:textId="77777777" w:rsidR="00BB3657" w:rsidRPr="0090787C" w:rsidRDefault="00BB3657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850" w:type="dxa"/>
            <w:noWrap/>
            <w:vAlign w:val="center"/>
          </w:tcPr>
          <w:p w14:paraId="345A3AA2" w14:textId="77777777" w:rsidR="00BB3657" w:rsidRPr="0090787C" w:rsidRDefault="00BB3657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709" w:type="dxa"/>
            <w:noWrap/>
            <w:vAlign w:val="center"/>
          </w:tcPr>
          <w:p w14:paraId="04882715" w14:textId="77777777" w:rsidR="00BB3657" w:rsidRPr="0090787C" w:rsidRDefault="00BB3657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992" w:type="dxa"/>
            <w:noWrap/>
            <w:vAlign w:val="center"/>
          </w:tcPr>
          <w:p w14:paraId="764FF604" w14:textId="77777777" w:rsidR="00BB3657" w:rsidRPr="0090787C" w:rsidRDefault="00BB3657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eastAsia="Times New Roman" w:hAnsi="HelveticaNeueLT Pro 55 Roman" w:cs="Times New Roman"/>
                <w:b/>
                <w:bCs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993" w:type="dxa"/>
            <w:noWrap/>
            <w:vAlign w:val="center"/>
          </w:tcPr>
          <w:p w14:paraId="749DE9CA" w14:textId="77777777" w:rsidR="00BB3657" w:rsidRPr="0090787C" w:rsidRDefault="00BB3657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850" w:type="dxa"/>
            <w:noWrap/>
            <w:vAlign w:val="center"/>
          </w:tcPr>
          <w:p w14:paraId="691EF1C7" w14:textId="77777777" w:rsidR="00BB3657" w:rsidRPr="0090787C" w:rsidRDefault="00BB3657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eastAsia="Times New Roman" w:hAnsi="HelveticaNeueLT Pro 55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709" w:type="dxa"/>
            <w:noWrap/>
            <w:vAlign w:val="center"/>
          </w:tcPr>
          <w:p w14:paraId="632E41D2" w14:textId="77777777" w:rsidR="00BB3657" w:rsidRPr="0090787C" w:rsidRDefault="00BB3657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eastAsia="Times New Roman" w:hAnsi="HelveticaNeueLT Pro 55 Roman" w:cs="Times New Roman"/>
                <w:sz w:val="18"/>
                <w:szCs w:val="18"/>
                <w:lang w:eastAsia="sv-SE"/>
              </w:rPr>
            </w:pPr>
          </w:p>
        </w:tc>
      </w:tr>
      <w:tr w:rsidR="00BB3657" w:rsidRPr="00DD2CF4" w14:paraId="00CCBBAB" w14:textId="77777777" w:rsidTr="00E23CC2">
        <w:trPr>
          <w:trHeight w:val="328"/>
        </w:trPr>
        <w:tc>
          <w:tcPr>
            <w:tcW w:w="2381" w:type="dxa"/>
            <w:noWrap/>
            <w:vAlign w:val="center"/>
          </w:tcPr>
          <w:p w14:paraId="17937DE4" w14:textId="77777777" w:rsidR="00BB3657" w:rsidRPr="0090787C" w:rsidRDefault="00BB3657" w:rsidP="006D49DA">
            <w:pPr>
              <w:suppressAutoHyphens/>
              <w:spacing w:before="60" w:after="60" w:line="240" w:lineRule="auto"/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</w:pPr>
            <w:r w:rsidRPr="0090787C">
              <w:rPr>
                <w:rFonts w:ascii="HelveticaNeueLT Pro 55 Roman" w:eastAsia="Times New Roman" w:hAnsi="HelveticaNeueLT Pro 55 Roman" w:cs="Times New Roman"/>
                <w:b/>
                <w:sz w:val="18"/>
                <w:szCs w:val="18"/>
                <w:lang w:eastAsia="sv-SE"/>
              </w:rPr>
              <w:t>Richness</w:t>
            </w:r>
          </w:p>
        </w:tc>
        <w:tc>
          <w:tcPr>
            <w:tcW w:w="1016" w:type="dxa"/>
            <w:noWrap/>
            <w:vAlign w:val="center"/>
          </w:tcPr>
          <w:p w14:paraId="105140CA" w14:textId="77777777" w:rsidR="00BB3657" w:rsidRPr="0090787C" w:rsidRDefault="00BB3657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eastAsia="Times New Roman" w:hAnsi="HelveticaNeueLT Pro 55 Roman" w:cs="Times New Roman"/>
                <w:b/>
                <w:bCs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851" w:type="dxa"/>
            <w:noWrap/>
            <w:vAlign w:val="center"/>
          </w:tcPr>
          <w:p w14:paraId="182F43C3" w14:textId="77777777" w:rsidR="00BB3657" w:rsidRPr="0090787C" w:rsidRDefault="00BB3657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850" w:type="dxa"/>
            <w:noWrap/>
            <w:vAlign w:val="center"/>
          </w:tcPr>
          <w:p w14:paraId="68475EC6" w14:textId="77777777" w:rsidR="00BB3657" w:rsidRPr="0090787C" w:rsidRDefault="00BB3657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709" w:type="dxa"/>
            <w:noWrap/>
            <w:vAlign w:val="center"/>
          </w:tcPr>
          <w:p w14:paraId="150BCCB4" w14:textId="77777777" w:rsidR="00BB3657" w:rsidRPr="0090787C" w:rsidRDefault="00BB3657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992" w:type="dxa"/>
            <w:noWrap/>
            <w:vAlign w:val="center"/>
          </w:tcPr>
          <w:p w14:paraId="00B8CD71" w14:textId="77777777" w:rsidR="00BB3657" w:rsidRPr="0090787C" w:rsidRDefault="00BB3657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eastAsia="Times New Roman" w:hAnsi="HelveticaNeueLT Pro 55 Roman" w:cs="Times New Roman"/>
                <w:b/>
                <w:bCs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993" w:type="dxa"/>
            <w:noWrap/>
            <w:vAlign w:val="center"/>
          </w:tcPr>
          <w:p w14:paraId="4CAE166E" w14:textId="77777777" w:rsidR="00BB3657" w:rsidRPr="0090787C" w:rsidRDefault="00BB3657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850" w:type="dxa"/>
            <w:noWrap/>
            <w:vAlign w:val="center"/>
          </w:tcPr>
          <w:p w14:paraId="4D9F6482" w14:textId="77777777" w:rsidR="00BB3657" w:rsidRPr="0090787C" w:rsidRDefault="00BB3657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eastAsia="Times New Roman" w:hAnsi="HelveticaNeueLT Pro 55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709" w:type="dxa"/>
            <w:noWrap/>
            <w:vAlign w:val="center"/>
          </w:tcPr>
          <w:p w14:paraId="76DFBFC4" w14:textId="77777777" w:rsidR="00BB3657" w:rsidRPr="0090787C" w:rsidRDefault="00BB3657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eastAsia="Times New Roman" w:hAnsi="HelveticaNeueLT Pro 55 Roman" w:cs="Times New Roman"/>
                <w:sz w:val="18"/>
                <w:szCs w:val="18"/>
                <w:lang w:eastAsia="sv-SE"/>
              </w:rPr>
            </w:pPr>
          </w:p>
        </w:tc>
      </w:tr>
      <w:tr w:rsidR="00BB3657" w:rsidRPr="00DD2CF4" w14:paraId="7CA754BE" w14:textId="77777777" w:rsidTr="00E23CC2">
        <w:trPr>
          <w:trHeight w:val="328"/>
        </w:trPr>
        <w:tc>
          <w:tcPr>
            <w:tcW w:w="2381" w:type="dxa"/>
            <w:noWrap/>
            <w:vAlign w:val="center"/>
          </w:tcPr>
          <w:p w14:paraId="49482D2B" w14:textId="77777777" w:rsidR="00BB3657" w:rsidRPr="0090787C" w:rsidRDefault="00BB3657" w:rsidP="006D49DA">
            <w:pPr>
              <w:suppressAutoHyphens/>
              <w:spacing w:before="60" w:after="60" w:line="240" w:lineRule="auto"/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</w:pPr>
            <w:r w:rsidRPr="0090787C"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  <w:t>Saproxylic insects</w:t>
            </w:r>
          </w:p>
        </w:tc>
        <w:tc>
          <w:tcPr>
            <w:tcW w:w="1016" w:type="dxa"/>
            <w:noWrap/>
            <w:vAlign w:val="center"/>
          </w:tcPr>
          <w:p w14:paraId="70F99E3D" w14:textId="77777777" w:rsidR="00BB3657" w:rsidRPr="0090787C" w:rsidRDefault="00BB3657" w:rsidP="006D49DA">
            <w:pPr>
              <w:spacing w:before="60" w:after="60" w:line="240" w:lineRule="auto"/>
              <w:jc w:val="center"/>
              <w:rPr>
                <w:rFonts w:ascii="HelveticaNeueLT Pro 55 Roman" w:hAnsi="HelveticaNeueLT Pro 55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0787C">
              <w:rPr>
                <w:rFonts w:ascii="HelveticaNeueLT Pro 55 Roman" w:hAnsi="HelveticaNeueLT Pro 55 Roman"/>
                <w:b/>
                <w:bCs/>
                <w:color w:val="000000"/>
                <w:sz w:val="18"/>
                <w:szCs w:val="18"/>
              </w:rPr>
              <w:t>1.74</w:t>
            </w:r>
          </w:p>
        </w:tc>
        <w:tc>
          <w:tcPr>
            <w:tcW w:w="851" w:type="dxa"/>
            <w:noWrap/>
            <w:vAlign w:val="center"/>
          </w:tcPr>
          <w:p w14:paraId="33388ABD" w14:textId="77777777" w:rsidR="00BB3657" w:rsidRPr="0090787C" w:rsidRDefault="00BB3657" w:rsidP="006D49DA">
            <w:pPr>
              <w:spacing w:before="60" w:after="60" w:line="240" w:lineRule="auto"/>
              <w:jc w:val="center"/>
              <w:rPr>
                <w:rFonts w:ascii="HelveticaNeueLT Pro 55 Roman" w:hAnsi="HelveticaNeueLT Pro 55 Roman"/>
                <w:color w:val="000000"/>
                <w:sz w:val="18"/>
                <w:szCs w:val="18"/>
              </w:rPr>
            </w:pPr>
            <w:r w:rsidRPr="0090787C">
              <w:rPr>
                <w:rFonts w:ascii="HelveticaNeueLT Pro 55 Roman" w:hAnsi="HelveticaNeueLT Pro 55 Roman"/>
                <w:color w:val="000000"/>
                <w:sz w:val="18"/>
                <w:szCs w:val="18"/>
              </w:rPr>
              <w:t>0.69</w:t>
            </w:r>
          </w:p>
        </w:tc>
        <w:tc>
          <w:tcPr>
            <w:tcW w:w="850" w:type="dxa"/>
            <w:noWrap/>
            <w:vAlign w:val="center"/>
          </w:tcPr>
          <w:p w14:paraId="1B2F42D0" w14:textId="77777777" w:rsidR="00BB3657" w:rsidRPr="0090787C" w:rsidRDefault="00BB3657" w:rsidP="006D49DA">
            <w:pPr>
              <w:spacing w:before="60" w:after="60" w:line="240" w:lineRule="auto"/>
              <w:jc w:val="center"/>
              <w:rPr>
                <w:rFonts w:ascii="HelveticaNeueLT Pro 55 Roman" w:hAnsi="HelveticaNeueLT Pro 55 Roman"/>
                <w:color w:val="000000"/>
                <w:sz w:val="18"/>
                <w:szCs w:val="18"/>
              </w:rPr>
            </w:pPr>
            <w:r w:rsidRPr="0090787C">
              <w:rPr>
                <w:rFonts w:ascii="HelveticaNeueLT Pro 55 Roman" w:hAnsi="HelveticaNeueLT Pro 55 Roman"/>
                <w:color w:val="000000"/>
                <w:sz w:val="18"/>
                <w:szCs w:val="18"/>
              </w:rPr>
              <w:t>2.24</w:t>
            </w:r>
          </w:p>
        </w:tc>
        <w:tc>
          <w:tcPr>
            <w:tcW w:w="709" w:type="dxa"/>
            <w:noWrap/>
            <w:vAlign w:val="center"/>
          </w:tcPr>
          <w:p w14:paraId="7F22EA58" w14:textId="77777777" w:rsidR="00BB3657" w:rsidRPr="0090787C" w:rsidRDefault="00BB3657" w:rsidP="006D49DA">
            <w:pPr>
              <w:spacing w:before="60" w:after="60" w:line="240" w:lineRule="auto"/>
              <w:jc w:val="center"/>
              <w:rPr>
                <w:rFonts w:ascii="HelveticaNeueLT Pro 55 Roman" w:hAnsi="HelveticaNeueLT Pro 55 Roman"/>
                <w:color w:val="000000"/>
                <w:sz w:val="18"/>
                <w:szCs w:val="18"/>
              </w:rPr>
            </w:pPr>
            <w:r w:rsidRPr="0090787C">
              <w:rPr>
                <w:rFonts w:ascii="HelveticaNeueLT Pro 55 Roman" w:hAnsi="HelveticaNeueLT Pro 55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2" w:type="dxa"/>
            <w:noWrap/>
            <w:vAlign w:val="center"/>
          </w:tcPr>
          <w:p w14:paraId="7985286D" w14:textId="77777777" w:rsidR="00BB3657" w:rsidRPr="0090787C" w:rsidRDefault="00BB3657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eastAsia="Times New Roman" w:hAnsi="HelveticaNeueLT Pro 55 Roman" w:cs="Times New Roman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90787C">
              <w:rPr>
                <w:rFonts w:ascii="HelveticaNeueLT Pro 55 Roman" w:eastAsia="Times New Roman" w:hAnsi="HelveticaNeueLT Pro 55 Roman" w:cs="Times New Roman"/>
                <w:b/>
                <w:bCs/>
                <w:color w:val="000000"/>
                <w:sz w:val="18"/>
                <w:szCs w:val="18"/>
                <w:lang w:eastAsia="sv-SE"/>
              </w:rPr>
              <w:t>2.12</w:t>
            </w:r>
          </w:p>
        </w:tc>
        <w:tc>
          <w:tcPr>
            <w:tcW w:w="993" w:type="dxa"/>
            <w:noWrap/>
            <w:vAlign w:val="center"/>
          </w:tcPr>
          <w:p w14:paraId="046CE48C" w14:textId="77777777" w:rsidR="00BB3657" w:rsidRPr="0090787C" w:rsidRDefault="00BB3657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</w:pPr>
            <w:r w:rsidRPr="0090787C"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  <w:t>0.51</w:t>
            </w:r>
          </w:p>
        </w:tc>
        <w:tc>
          <w:tcPr>
            <w:tcW w:w="850" w:type="dxa"/>
            <w:noWrap/>
            <w:vAlign w:val="center"/>
          </w:tcPr>
          <w:p w14:paraId="60888794" w14:textId="77777777" w:rsidR="00BB3657" w:rsidRPr="0090787C" w:rsidRDefault="00BB3657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</w:pPr>
            <w:r w:rsidRPr="0090787C"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  <w:t>3.72</w:t>
            </w:r>
          </w:p>
        </w:tc>
        <w:tc>
          <w:tcPr>
            <w:tcW w:w="709" w:type="dxa"/>
            <w:noWrap/>
            <w:vAlign w:val="center"/>
          </w:tcPr>
          <w:p w14:paraId="70C625DC" w14:textId="77777777" w:rsidR="00BB3657" w:rsidRPr="0090787C" w:rsidRDefault="00BB3657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</w:pPr>
            <w:r w:rsidRPr="0090787C"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  <w:t>14</w:t>
            </w:r>
          </w:p>
        </w:tc>
      </w:tr>
      <w:tr w:rsidR="00BB3657" w:rsidRPr="00DD2CF4" w14:paraId="46C3C96F" w14:textId="77777777" w:rsidTr="00E23CC2">
        <w:trPr>
          <w:trHeight w:val="328"/>
        </w:trPr>
        <w:tc>
          <w:tcPr>
            <w:tcW w:w="2381" w:type="dxa"/>
            <w:noWrap/>
            <w:vAlign w:val="center"/>
          </w:tcPr>
          <w:p w14:paraId="3A6AE58D" w14:textId="77777777" w:rsidR="00BB3657" w:rsidRPr="0090787C" w:rsidRDefault="00BB3657" w:rsidP="006D49DA">
            <w:pPr>
              <w:suppressAutoHyphens/>
              <w:spacing w:before="60" w:after="60" w:line="240" w:lineRule="auto"/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</w:pPr>
            <w:r w:rsidRPr="0090787C"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  <w:t>Ground insects</w:t>
            </w:r>
          </w:p>
        </w:tc>
        <w:tc>
          <w:tcPr>
            <w:tcW w:w="1016" w:type="dxa"/>
            <w:noWrap/>
            <w:vAlign w:val="center"/>
          </w:tcPr>
          <w:p w14:paraId="31F514AF" w14:textId="77777777" w:rsidR="00BB3657" w:rsidRPr="0090787C" w:rsidRDefault="00BB3657" w:rsidP="006D49DA">
            <w:pPr>
              <w:spacing w:before="60" w:after="60" w:line="240" w:lineRule="auto"/>
              <w:jc w:val="center"/>
              <w:rPr>
                <w:rFonts w:ascii="HelveticaNeueLT Pro 55 Roman" w:hAnsi="HelveticaNeueLT Pro 55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0787C">
              <w:rPr>
                <w:rFonts w:ascii="HelveticaNeueLT Pro 55 Roman" w:hAnsi="HelveticaNeueLT Pro 55 Roman"/>
                <w:b/>
                <w:bCs/>
                <w:color w:val="000000"/>
                <w:sz w:val="18"/>
                <w:szCs w:val="18"/>
              </w:rPr>
              <w:t>-0.15</w:t>
            </w:r>
          </w:p>
        </w:tc>
        <w:tc>
          <w:tcPr>
            <w:tcW w:w="851" w:type="dxa"/>
            <w:noWrap/>
            <w:vAlign w:val="center"/>
          </w:tcPr>
          <w:p w14:paraId="22275BD6" w14:textId="77777777" w:rsidR="00BB3657" w:rsidRPr="0090787C" w:rsidRDefault="00BB3657" w:rsidP="006D49DA">
            <w:pPr>
              <w:spacing w:before="60" w:after="60" w:line="240" w:lineRule="auto"/>
              <w:jc w:val="center"/>
              <w:rPr>
                <w:rFonts w:ascii="HelveticaNeueLT Pro 55 Roman" w:hAnsi="HelveticaNeueLT Pro 55 Roman"/>
                <w:color w:val="000000"/>
                <w:sz w:val="18"/>
                <w:szCs w:val="18"/>
              </w:rPr>
            </w:pPr>
            <w:r w:rsidRPr="0090787C">
              <w:rPr>
                <w:rFonts w:ascii="HelveticaNeueLT Pro 55 Roman" w:hAnsi="HelveticaNeueLT Pro 55 Roman"/>
                <w:color w:val="000000"/>
                <w:sz w:val="18"/>
                <w:szCs w:val="18"/>
              </w:rPr>
              <w:t>-0.66</w:t>
            </w:r>
          </w:p>
        </w:tc>
        <w:tc>
          <w:tcPr>
            <w:tcW w:w="850" w:type="dxa"/>
            <w:noWrap/>
            <w:vAlign w:val="center"/>
          </w:tcPr>
          <w:p w14:paraId="5AFAE78C" w14:textId="77777777" w:rsidR="00BB3657" w:rsidRPr="0090787C" w:rsidRDefault="00BB3657" w:rsidP="006D49DA">
            <w:pPr>
              <w:spacing w:before="60" w:after="60" w:line="240" w:lineRule="auto"/>
              <w:jc w:val="center"/>
              <w:rPr>
                <w:rFonts w:ascii="HelveticaNeueLT Pro 55 Roman" w:hAnsi="HelveticaNeueLT Pro 55 Roman"/>
                <w:color w:val="000000"/>
                <w:sz w:val="18"/>
                <w:szCs w:val="18"/>
              </w:rPr>
            </w:pPr>
            <w:r w:rsidRPr="0090787C">
              <w:rPr>
                <w:rFonts w:ascii="HelveticaNeueLT Pro 55 Roman" w:hAnsi="HelveticaNeueLT Pro 55 Roman"/>
                <w:color w:val="000000"/>
                <w:sz w:val="18"/>
                <w:szCs w:val="18"/>
              </w:rPr>
              <w:t>0.37</w:t>
            </w:r>
          </w:p>
        </w:tc>
        <w:tc>
          <w:tcPr>
            <w:tcW w:w="709" w:type="dxa"/>
            <w:noWrap/>
            <w:vAlign w:val="center"/>
          </w:tcPr>
          <w:p w14:paraId="6691D8A6" w14:textId="77777777" w:rsidR="00BB3657" w:rsidRPr="0090787C" w:rsidRDefault="00BB3657" w:rsidP="006D49DA">
            <w:pPr>
              <w:spacing w:before="60" w:after="60" w:line="240" w:lineRule="auto"/>
              <w:jc w:val="center"/>
              <w:rPr>
                <w:rFonts w:ascii="HelveticaNeueLT Pro 55 Roman" w:hAnsi="HelveticaNeueLT Pro 55 Roman"/>
                <w:color w:val="000000"/>
                <w:sz w:val="18"/>
                <w:szCs w:val="18"/>
              </w:rPr>
            </w:pPr>
            <w:r w:rsidRPr="0090787C">
              <w:rPr>
                <w:rFonts w:ascii="HelveticaNeueLT Pro 55 Roman" w:hAnsi="HelveticaNeueLT Pro 55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noWrap/>
            <w:vAlign w:val="center"/>
          </w:tcPr>
          <w:p w14:paraId="04313CA3" w14:textId="77777777" w:rsidR="00BB3657" w:rsidRPr="0090787C" w:rsidRDefault="00BB3657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eastAsia="Times New Roman" w:hAnsi="HelveticaNeueLT Pro 55 Roman" w:cs="Times New Roman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90787C">
              <w:rPr>
                <w:rFonts w:ascii="HelveticaNeueLT Pro 55 Roman" w:eastAsia="Times New Roman" w:hAnsi="HelveticaNeueLT Pro 55 Roman" w:cs="Times New Roman"/>
                <w:b/>
                <w:bCs/>
                <w:color w:val="000000"/>
                <w:sz w:val="18"/>
                <w:szCs w:val="18"/>
                <w:lang w:eastAsia="sv-SE"/>
              </w:rPr>
              <w:t>-0.09</w:t>
            </w:r>
          </w:p>
        </w:tc>
        <w:tc>
          <w:tcPr>
            <w:tcW w:w="993" w:type="dxa"/>
            <w:noWrap/>
            <w:vAlign w:val="center"/>
          </w:tcPr>
          <w:p w14:paraId="6FEFF501" w14:textId="77777777" w:rsidR="00BB3657" w:rsidRPr="0090787C" w:rsidRDefault="00BB3657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</w:pPr>
            <w:r w:rsidRPr="0090787C"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  <w:t>-0.71</w:t>
            </w:r>
          </w:p>
        </w:tc>
        <w:tc>
          <w:tcPr>
            <w:tcW w:w="850" w:type="dxa"/>
            <w:noWrap/>
            <w:vAlign w:val="center"/>
          </w:tcPr>
          <w:p w14:paraId="6397259E" w14:textId="77777777" w:rsidR="00BB3657" w:rsidRPr="0090787C" w:rsidRDefault="00BB3657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</w:pPr>
            <w:r w:rsidRPr="0090787C"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  <w:t>0.53</w:t>
            </w:r>
          </w:p>
        </w:tc>
        <w:tc>
          <w:tcPr>
            <w:tcW w:w="709" w:type="dxa"/>
            <w:noWrap/>
            <w:vAlign w:val="center"/>
          </w:tcPr>
          <w:p w14:paraId="388AFAC9" w14:textId="77777777" w:rsidR="00BB3657" w:rsidRPr="0090787C" w:rsidRDefault="00BB3657" w:rsidP="006D49DA">
            <w:pPr>
              <w:suppressAutoHyphens/>
              <w:spacing w:before="60" w:after="60" w:line="240" w:lineRule="auto"/>
              <w:jc w:val="center"/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</w:pPr>
            <w:r w:rsidRPr="0090787C"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  <w:t>4</w:t>
            </w:r>
          </w:p>
        </w:tc>
      </w:tr>
    </w:tbl>
    <w:p w14:paraId="1302F0B6" w14:textId="1A1521A6" w:rsidR="008020F7" w:rsidRDefault="006D49DA" w:rsidP="00ED0AB4">
      <w:pPr>
        <w:suppressAutoHyphens/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/>
      </w:r>
    </w:p>
    <w:p w14:paraId="71E1C27A" w14:textId="32BCE0A5" w:rsidR="00296D03" w:rsidRPr="00296D03" w:rsidRDefault="00296D03" w:rsidP="00ED0AB4">
      <w:pPr>
        <w:suppressAutoHyphens/>
        <w:spacing w:line="360" w:lineRule="auto"/>
        <w:rPr>
          <w:b/>
          <w:sz w:val="20"/>
          <w:szCs w:val="20"/>
        </w:rPr>
      </w:pPr>
      <w:r w:rsidRPr="00296D03">
        <w:rPr>
          <w:b/>
          <w:sz w:val="20"/>
          <w:szCs w:val="20"/>
        </w:rPr>
        <w:t>Studies where dead-wood amounts decreased</w:t>
      </w:r>
    </w:p>
    <w:p w14:paraId="2056590D" w14:textId="027D89FB" w:rsidR="001B4F29" w:rsidRDefault="0099549F" w:rsidP="00F24B98">
      <w:pPr>
        <w:suppressAutoHyphens/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While interventions </w:t>
      </w:r>
      <w:r w:rsidR="00FE51AE">
        <w:rPr>
          <w:sz w:val="20"/>
          <w:szCs w:val="20"/>
        </w:rPr>
        <w:t xml:space="preserve">of the </w:t>
      </w:r>
      <w:r w:rsidR="00027430">
        <w:rPr>
          <w:sz w:val="20"/>
          <w:szCs w:val="20"/>
        </w:rPr>
        <w:t>types</w:t>
      </w:r>
      <w:r w:rsidR="00FE51AE">
        <w:rPr>
          <w:sz w:val="20"/>
          <w:szCs w:val="20"/>
        </w:rPr>
        <w:t xml:space="preserve"> </w:t>
      </w:r>
      <w:r w:rsidR="00623F90">
        <w:rPr>
          <w:sz w:val="20"/>
          <w:szCs w:val="20"/>
        </w:rPr>
        <w:t>covered by</w:t>
      </w:r>
      <w:r>
        <w:rPr>
          <w:sz w:val="20"/>
          <w:szCs w:val="20"/>
        </w:rPr>
        <w:t xml:space="preserve"> this review generally result in increased amounts of dead wood, </w:t>
      </w:r>
      <w:r w:rsidR="003708D9">
        <w:rPr>
          <w:sz w:val="20"/>
          <w:szCs w:val="20"/>
        </w:rPr>
        <w:t xml:space="preserve">a few of the included studies of burning </w:t>
      </w:r>
      <w:r w:rsidR="00FE51AE">
        <w:rPr>
          <w:sz w:val="20"/>
          <w:szCs w:val="20"/>
        </w:rPr>
        <w:t xml:space="preserve">reported that dead-wood amounts had decreased as a consequence of the fire. </w:t>
      </w:r>
      <w:r>
        <w:rPr>
          <w:sz w:val="20"/>
          <w:szCs w:val="20"/>
        </w:rPr>
        <w:t>This applie</w:t>
      </w:r>
      <w:r w:rsidR="003708D9">
        <w:rPr>
          <w:sz w:val="20"/>
          <w:szCs w:val="20"/>
        </w:rPr>
        <w:t>d</w:t>
      </w:r>
      <w:r>
        <w:rPr>
          <w:sz w:val="20"/>
          <w:szCs w:val="20"/>
        </w:rPr>
        <w:t xml:space="preserve"> to three of the seven studies of cavity-nesting birds </w:t>
      </w:r>
      <w:r w:rsidR="00027430">
        <w:rPr>
          <w:sz w:val="20"/>
          <w:szCs w:val="20"/>
        </w:rPr>
        <w:t xml:space="preserve">that were </w:t>
      </w:r>
      <w:r w:rsidR="00FE51AE">
        <w:rPr>
          <w:sz w:val="20"/>
          <w:szCs w:val="20"/>
        </w:rPr>
        <w:t xml:space="preserve">included in our meta-analyses, whereas the amounts of dead wood had increased in the four other studies. The response to burning of bird abundance did not differ significantly between these two groups of studies </w:t>
      </w:r>
      <w:r w:rsidR="00027430">
        <w:rPr>
          <w:sz w:val="20"/>
          <w:szCs w:val="20"/>
        </w:rPr>
        <w:t>(</w:t>
      </w:r>
      <w:r w:rsidR="00027430" w:rsidRPr="00DD2CF4">
        <w:rPr>
          <w:sz w:val="20"/>
          <w:szCs w:val="20"/>
        </w:rPr>
        <w:t>SMD: 0.69, CI: -0.27, 1.65</w:t>
      </w:r>
      <w:r w:rsidR="00027430">
        <w:rPr>
          <w:sz w:val="20"/>
          <w:szCs w:val="20"/>
        </w:rPr>
        <w:t xml:space="preserve">, n=3 and </w:t>
      </w:r>
      <w:r w:rsidR="00027430" w:rsidRPr="00DD2CF4">
        <w:rPr>
          <w:sz w:val="20"/>
          <w:szCs w:val="20"/>
        </w:rPr>
        <w:t>SMD: 0.63, CI: -0.81, 2.07</w:t>
      </w:r>
      <w:r w:rsidR="00027430">
        <w:rPr>
          <w:sz w:val="20"/>
          <w:szCs w:val="20"/>
        </w:rPr>
        <w:t xml:space="preserve">, n=4 in studies with decreased and increased amounts of dead wood, respectively). </w:t>
      </w:r>
      <w:r w:rsidR="0011158B">
        <w:rPr>
          <w:sz w:val="20"/>
          <w:szCs w:val="20"/>
        </w:rPr>
        <w:t xml:space="preserve">One case with lower dead-wood amounts after burning also appeared among the studies of </w:t>
      </w:r>
      <w:r w:rsidR="003708D9">
        <w:rPr>
          <w:sz w:val="20"/>
          <w:szCs w:val="20"/>
        </w:rPr>
        <w:t>saproxylic in</w:t>
      </w:r>
      <w:r w:rsidR="003708D9">
        <w:rPr>
          <w:sz w:val="20"/>
          <w:szCs w:val="20"/>
        </w:rPr>
        <w:t>sect</w:t>
      </w:r>
      <w:r w:rsidR="0053687C">
        <w:rPr>
          <w:sz w:val="20"/>
          <w:szCs w:val="20"/>
        </w:rPr>
        <w:t xml:space="preserve"> abundance (Apigian</w:t>
      </w:r>
      <w:r w:rsidR="003708D9">
        <w:rPr>
          <w:sz w:val="20"/>
          <w:szCs w:val="20"/>
        </w:rPr>
        <w:t xml:space="preserve"> </w:t>
      </w:r>
      <w:r w:rsidR="00A45216" w:rsidRPr="00A45216">
        <w:rPr>
          <w:i/>
          <w:sz w:val="20"/>
          <w:szCs w:val="20"/>
        </w:rPr>
        <w:t>et al.</w:t>
      </w:r>
      <w:r w:rsidR="00A45216">
        <w:rPr>
          <w:sz w:val="20"/>
          <w:szCs w:val="20"/>
        </w:rPr>
        <w:t xml:space="preserve"> </w:t>
      </w:r>
      <w:r w:rsidR="008020F7">
        <w:rPr>
          <w:sz w:val="20"/>
          <w:szCs w:val="20"/>
        </w:rPr>
        <w:t>2006</w:t>
      </w:r>
      <w:r w:rsidR="00027430">
        <w:rPr>
          <w:sz w:val="20"/>
          <w:szCs w:val="20"/>
        </w:rPr>
        <w:t>).</w:t>
      </w:r>
      <w:r w:rsidR="0053687C">
        <w:rPr>
          <w:sz w:val="20"/>
          <w:szCs w:val="20"/>
        </w:rPr>
        <w:t xml:space="preserve"> Exclusion of this study</w:t>
      </w:r>
      <w:r w:rsidR="006E604E">
        <w:rPr>
          <w:sz w:val="20"/>
          <w:szCs w:val="20"/>
        </w:rPr>
        <w:t xml:space="preserve"> </w:t>
      </w:r>
      <w:r w:rsidR="0053687C">
        <w:rPr>
          <w:sz w:val="20"/>
          <w:szCs w:val="20"/>
        </w:rPr>
        <w:t xml:space="preserve">made little difference to </w:t>
      </w:r>
      <w:r w:rsidR="00027430">
        <w:rPr>
          <w:sz w:val="20"/>
          <w:szCs w:val="20"/>
        </w:rPr>
        <w:t xml:space="preserve">the average </w:t>
      </w:r>
      <w:r w:rsidR="0011158B">
        <w:rPr>
          <w:sz w:val="20"/>
          <w:szCs w:val="20"/>
        </w:rPr>
        <w:t xml:space="preserve">abundance </w:t>
      </w:r>
      <w:r w:rsidR="00027430">
        <w:rPr>
          <w:sz w:val="20"/>
          <w:szCs w:val="20"/>
        </w:rPr>
        <w:t xml:space="preserve">response </w:t>
      </w:r>
      <w:r w:rsidR="007144C5">
        <w:rPr>
          <w:sz w:val="20"/>
          <w:szCs w:val="20"/>
        </w:rPr>
        <w:t xml:space="preserve">to prescribed burning </w:t>
      </w:r>
      <w:r w:rsidR="0011158B">
        <w:rPr>
          <w:sz w:val="20"/>
          <w:szCs w:val="20"/>
        </w:rPr>
        <w:t>(</w:t>
      </w:r>
      <w:r w:rsidR="0011158B" w:rsidRPr="00DD2CF4">
        <w:rPr>
          <w:sz w:val="20"/>
          <w:szCs w:val="20"/>
        </w:rPr>
        <w:t>SMD</w:t>
      </w:r>
      <w:r w:rsidR="0011158B">
        <w:rPr>
          <w:sz w:val="20"/>
          <w:szCs w:val="20"/>
        </w:rPr>
        <w:t>:</w:t>
      </w:r>
      <w:r w:rsidR="006E604E">
        <w:rPr>
          <w:sz w:val="20"/>
          <w:szCs w:val="20"/>
        </w:rPr>
        <w:t xml:space="preserve"> 1.04</w:t>
      </w:r>
      <w:r w:rsidR="0011158B">
        <w:rPr>
          <w:sz w:val="20"/>
          <w:szCs w:val="20"/>
        </w:rPr>
        <w:t>,</w:t>
      </w:r>
      <w:r w:rsidR="006E604E">
        <w:rPr>
          <w:sz w:val="20"/>
          <w:szCs w:val="20"/>
        </w:rPr>
        <w:t xml:space="preserve"> CI 0.82, 1.48, n=29 w</w:t>
      </w:r>
      <w:r w:rsidR="006E604E">
        <w:rPr>
          <w:sz w:val="20"/>
          <w:szCs w:val="20"/>
        </w:rPr>
        <w:t>ith the study ex</w:t>
      </w:r>
      <w:r w:rsidR="0011158B">
        <w:rPr>
          <w:sz w:val="20"/>
          <w:szCs w:val="20"/>
        </w:rPr>
        <w:t>cluded; SMD:</w:t>
      </w:r>
      <w:r w:rsidR="006E604E">
        <w:rPr>
          <w:sz w:val="20"/>
          <w:szCs w:val="20"/>
        </w:rPr>
        <w:t xml:space="preserve"> 0.99</w:t>
      </w:r>
      <w:r w:rsidR="0011158B">
        <w:rPr>
          <w:sz w:val="20"/>
          <w:szCs w:val="20"/>
        </w:rPr>
        <w:t>,</w:t>
      </w:r>
      <w:r w:rsidR="0011158B" w:rsidRPr="00DD2CF4">
        <w:rPr>
          <w:sz w:val="20"/>
          <w:szCs w:val="20"/>
        </w:rPr>
        <w:t xml:space="preserve"> CI</w:t>
      </w:r>
      <w:r w:rsidR="0011158B">
        <w:rPr>
          <w:sz w:val="20"/>
          <w:szCs w:val="20"/>
        </w:rPr>
        <w:t>:</w:t>
      </w:r>
      <w:r w:rsidR="006E604E">
        <w:rPr>
          <w:sz w:val="20"/>
          <w:szCs w:val="20"/>
        </w:rPr>
        <w:t xml:space="preserve"> 0.84, 1.34, n=30 with the study in</w:t>
      </w:r>
      <w:r w:rsidR="0011158B">
        <w:rPr>
          <w:sz w:val="20"/>
          <w:szCs w:val="20"/>
        </w:rPr>
        <w:t>cluded</w:t>
      </w:r>
      <w:r w:rsidR="0011158B" w:rsidRPr="00DD2CF4">
        <w:rPr>
          <w:sz w:val="20"/>
          <w:szCs w:val="20"/>
        </w:rPr>
        <w:t>)</w:t>
      </w:r>
      <w:r w:rsidR="0011158B">
        <w:rPr>
          <w:sz w:val="20"/>
          <w:szCs w:val="20"/>
        </w:rPr>
        <w:t>.</w:t>
      </w:r>
      <w:r w:rsidR="006D49DA">
        <w:rPr>
          <w:sz w:val="20"/>
          <w:szCs w:val="20"/>
        </w:rPr>
        <w:br/>
      </w:r>
    </w:p>
    <w:p w14:paraId="17616316" w14:textId="77777777" w:rsidR="00656C51" w:rsidRDefault="00656C51" w:rsidP="00F24B98">
      <w:pPr>
        <w:suppressAutoHyphens/>
        <w:spacing w:after="0" w:line="360" w:lineRule="auto"/>
        <w:rPr>
          <w:sz w:val="20"/>
          <w:szCs w:val="20"/>
        </w:rPr>
      </w:pPr>
    </w:p>
    <w:p w14:paraId="30A1CB52" w14:textId="4A01C70E" w:rsidR="006A6886" w:rsidRPr="006A6886" w:rsidRDefault="006A6886" w:rsidP="006A6886">
      <w:pPr>
        <w:pStyle w:val="Rubrik"/>
        <w:suppressAutoHyphens/>
        <w:spacing w:line="360" w:lineRule="auto"/>
        <w:rPr>
          <w:rFonts w:ascii="Georgia" w:hAnsi="Georgia"/>
          <w:sz w:val="20"/>
          <w:szCs w:val="20"/>
          <w:lang w:val="en-GB"/>
        </w:rPr>
      </w:pPr>
      <w:r w:rsidRPr="006A6886">
        <w:rPr>
          <w:rFonts w:ascii="Georgia" w:hAnsi="Georgia"/>
          <w:sz w:val="20"/>
          <w:szCs w:val="20"/>
          <w:lang w:val="en-GB"/>
        </w:rPr>
        <w:t>Publication bias</w:t>
      </w:r>
    </w:p>
    <w:p w14:paraId="1551E0EA" w14:textId="7DC94E4B" w:rsidR="00ED0AB4" w:rsidRDefault="006A6886" w:rsidP="00392AEE">
      <w:pPr>
        <w:pStyle w:val="Rubrik"/>
        <w:suppressAutoHyphens/>
        <w:spacing w:line="360" w:lineRule="auto"/>
        <w:rPr>
          <w:sz w:val="20"/>
          <w:szCs w:val="20"/>
        </w:rPr>
      </w:pPr>
      <w:r>
        <w:rPr>
          <w:rFonts w:ascii="Georgia" w:hAnsi="Georgia"/>
          <w:b w:val="0"/>
          <w:sz w:val="20"/>
          <w:szCs w:val="20"/>
          <w:lang w:val="en-GB"/>
        </w:rPr>
        <w:t>W</w:t>
      </w:r>
      <w:r w:rsidRPr="005C3720">
        <w:rPr>
          <w:rFonts w:ascii="Georgia" w:hAnsi="Georgia"/>
          <w:b w:val="0"/>
          <w:sz w:val="20"/>
          <w:szCs w:val="20"/>
          <w:lang w:val="en-GB"/>
        </w:rPr>
        <w:t xml:space="preserve">e tested for </w:t>
      </w:r>
      <w:r w:rsidRPr="005C3720">
        <w:rPr>
          <w:rFonts w:ascii="Georgia" w:hAnsi="Georgia" w:cs="Georgia"/>
          <w:b w:val="0"/>
          <w:sz w:val="20"/>
          <w:szCs w:val="20"/>
          <w:lang w:val="en-GB"/>
        </w:rPr>
        <w:t xml:space="preserve">possible publication bias using funnel plots for </w:t>
      </w:r>
      <w:r w:rsidRPr="005C3720">
        <w:rPr>
          <w:rFonts w:ascii="Georgia" w:hAnsi="Georgia"/>
          <w:b w:val="0"/>
          <w:sz w:val="20"/>
          <w:szCs w:val="20"/>
          <w:lang w:val="en-GB"/>
        </w:rPr>
        <w:t xml:space="preserve">the available data on </w:t>
      </w:r>
      <w:r>
        <w:rPr>
          <w:rFonts w:ascii="Georgia" w:hAnsi="Georgia"/>
          <w:b w:val="0"/>
          <w:sz w:val="20"/>
          <w:szCs w:val="20"/>
          <w:lang w:val="en-GB"/>
        </w:rPr>
        <w:t>saproxylic insect</w:t>
      </w:r>
      <w:r w:rsidRPr="005C3720">
        <w:rPr>
          <w:rFonts w:ascii="Georgia" w:hAnsi="Georgia"/>
          <w:b w:val="0"/>
          <w:sz w:val="20"/>
          <w:szCs w:val="20"/>
          <w:lang w:val="en-GB"/>
        </w:rPr>
        <w:t xml:space="preserve"> abundance and richness</w:t>
      </w:r>
      <w:r w:rsidRPr="005C3720">
        <w:rPr>
          <w:rFonts w:ascii="Georgia" w:hAnsi="Georgia" w:cs="Georgia"/>
          <w:b w:val="0"/>
          <w:sz w:val="20"/>
          <w:szCs w:val="20"/>
          <w:lang w:val="en-GB"/>
        </w:rPr>
        <w:t>. Funnel plots are scatter plots of effect sizes against a measure of precision, usually the standard error</w:t>
      </w:r>
      <w:r w:rsidRPr="005C3720">
        <w:rPr>
          <w:rFonts w:ascii="Georgia" w:hAnsi="Georgia" w:cs="Georgia"/>
          <w:b w:val="0"/>
          <w:sz w:val="20"/>
          <w:szCs w:val="20"/>
          <w:lang w:val="en-GB"/>
        </w:rPr>
        <w:t>. However, funnel plots that combine SMDs and standard errors are susceptible to distortions that could be interpreted as signs of publication bias even where no such bias is present</w:t>
      </w:r>
      <w:r w:rsidR="00225E91">
        <w:rPr>
          <w:rFonts w:ascii="Georgia" w:hAnsi="Georgia" w:cs="Georgia"/>
          <w:b w:val="0"/>
          <w:sz w:val="20"/>
          <w:szCs w:val="20"/>
          <w:lang w:val="en-GB"/>
        </w:rPr>
        <w:t>.</w:t>
      </w:r>
      <w:r w:rsidR="00ED0AB4">
        <w:rPr>
          <w:rFonts w:ascii="Georgia" w:hAnsi="Georgia" w:cs="Georgia"/>
          <w:b w:val="0"/>
          <w:sz w:val="20"/>
          <w:szCs w:val="20"/>
          <w:lang w:val="en-GB"/>
        </w:rPr>
        <w:t xml:space="preserve"> </w:t>
      </w:r>
      <w:r w:rsidR="00D6495D">
        <w:rPr>
          <w:rFonts w:ascii="Georgia" w:hAnsi="Georgia" w:cs="Georgia"/>
          <w:b w:val="0"/>
          <w:sz w:val="20"/>
          <w:szCs w:val="20"/>
          <w:lang w:val="en-GB"/>
        </w:rPr>
        <w:t>T</w:t>
      </w:r>
      <w:r w:rsidR="00ED0AB4">
        <w:rPr>
          <w:rFonts w:ascii="Georgia" w:hAnsi="Georgia" w:cs="Georgia"/>
          <w:b w:val="0"/>
          <w:sz w:val="20"/>
          <w:szCs w:val="20"/>
          <w:lang w:val="en-GB"/>
        </w:rPr>
        <w:t xml:space="preserve">herefore, </w:t>
      </w:r>
      <w:r w:rsidRPr="005C3720">
        <w:rPr>
          <w:rFonts w:ascii="Georgia" w:hAnsi="Georgia" w:cs="Georgia"/>
          <w:b w:val="0"/>
          <w:sz w:val="20"/>
          <w:szCs w:val="20"/>
          <w:lang w:val="en-GB"/>
        </w:rPr>
        <w:t>we used the inverse square root of the sample size as a meas</w:t>
      </w:r>
      <w:r w:rsidRPr="005C3720">
        <w:rPr>
          <w:rFonts w:ascii="Georgia" w:hAnsi="Georgia" w:cs="Georgia"/>
          <w:b w:val="0"/>
          <w:sz w:val="20"/>
          <w:szCs w:val="20"/>
          <w:lang w:val="en-GB"/>
        </w:rPr>
        <w:t>ure of precision in our funnel plots</w:t>
      </w:r>
      <w:r w:rsidR="00D6495D">
        <w:rPr>
          <w:rFonts w:ascii="Georgia" w:hAnsi="Georgia" w:cs="Georgia"/>
          <w:b w:val="0"/>
          <w:sz w:val="20"/>
          <w:szCs w:val="20"/>
          <w:lang w:val="en-GB"/>
        </w:rPr>
        <w:t>, as recommende</w:t>
      </w:r>
      <w:r w:rsidR="00D6495D" w:rsidRPr="00392AEE">
        <w:rPr>
          <w:rFonts w:ascii="Georgia" w:hAnsi="Georgia" w:cs="Georgia"/>
          <w:b w:val="0"/>
          <w:sz w:val="20"/>
          <w:szCs w:val="20"/>
          <w:lang w:val="en-GB"/>
        </w:rPr>
        <w:t xml:space="preserve">d by Zwetsloot </w:t>
      </w:r>
      <w:r w:rsidR="00D6495D" w:rsidRPr="00392AEE">
        <w:rPr>
          <w:rFonts w:ascii="Georgia" w:hAnsi="Georgia" w:cs="Georgia"/>
          <w:b w:val="0"/>
          <w:i/>
          <w:sz w:val="20"/>
          <w:szCs w:val="20"/>
          <w:lang w:val="en-GB"/>
        </w:rPr>
        <w:t>et al</w:t>
      </w:r>
      <w:r w:rsidR="00D6495D" w:rsidRPr="00392AEE">
        <w:rPr>
          <w:rFonts w:ascii="Georgia" w:hAnsi="Georgia" w:cs="Georgia"/>
          <w:b w:val="0"/>
          <w:sz w:val="20"/>
          <w:szCs w:val="20"/>
          <w:lang w:val="en-GB"/>
        </w:rPr>
        <w:t>. (2017).</w:t>
      </w:r>
      <w:r w:rsidRPr="00392AEE">
        <w:rPr>
          <w:rFonts w:ascii="Georgia" w:hAnsi="Georgia" w:cs="Georgia"/>
          <w:b w:val="0"/>
          <w:sz w:val="20"/>
          <w:szCs w:val="20"/>
          <w:lang w:val="en-GB"/>
        </w:rPr>
        <w:t xml:space="preserve"> </w:t>
      </w:r>
      <w:r w:rsidR="00D6495D" w:rsidRPr="00392AEE">
        <w:rPr>
          <w:rFonts w:ascii="Georgia" w:hAnsi="Georgia"/>
          <w:b w:val="0"/>
          <w:sz w:val="20"/>
          <w:szCs w:val="20"/>
        </w:rPr>
        <w:t>I</w:t>
      </w:r>
      <w:r w:rsidRPr="00392AEE">
        <w:rPr>
          <w:rFonts w:ascii="Georgia" w:hAnsi="Georgia"/>
          <w:b w:val="0"/>
          <w:sz w:val="20"/>
          <w:szCs w:val="20"/>
        </w:rPr>
        <w:t xml:space="preserve">n </w:t>
      </w:r>
      <w:r w:rsidR="00D6495D" w:rsidRPr="00392AEE">
        <w:rPr>
          <w:rFonts w:ascii="Georgia" w:hAnsi="Georgia"/>
          <w:b w:val="0"/>
          <w:sz w:val="20"/>
          <w:szCs w:val="20"/>
        </w:rPr>
        <w:t>the</w:t>
      </w:r>
      <w:r w:rsidRPr="00392AEE">
        <w:rPr>
          <w:rFonts w:ascii="Georgia" w:hAnsi="Georgia"/>
          <w:b w:val="0"/>
          <w:sz w:val="20"/>
          <w:szCs w:val="20"/>
        </w:rPr>
        <w:t xml:space="preserve"> funnel plot</w:t>
      </w:r>
      <w:r w:rsidR="00D6495D" w:rsidRPr="00392AEE">
        <w:rPr>
          <w:rFonts w:ascii="Georgia" w:hAnsi="Georgia"/>
          <w:b w:val="0"/>
          <w:sz w:val="20"/>
          <w:szCs w:val="20"/>
        </w:rPr>
        <w:t>s</w:t>
      </w:r>
      <w:r w:rsidRPr="00392AEE">
        <w:rPr>
          <w:rFonts w:ascii="Georgia" w:hAnsi="Georgia"/>
          <w:b w:val="0"/>
          <w:sz w:val="20"/>
          <w:szCs w:val="20"/>
        </w:rPr>
        <w:t xml:space="preserve">, </w:t>
      </w:r>
      <w:r w:rsidR="00D6495D" w:rsidRPr="00392AEE">
        <w:rPr>
          <w:rFonts w:ascii="Georgia" w:hAnsi="Georgia"/>
          <w:b w:val="0"/>
          <w:sz w:val="20"/>
          <w:szCs w:val="20"/>
        </w:rPr>
        <w:t xml:space="preserve">both </w:t>
      </w:r>
      <w:r w:rsidRPr="00392AEE">
        <w:rPr>
          <w:rFonts w:ascii="Georgia" w:hAnsi="Georgia"/>
          <w:b w:val="0"/>
          <w:sz w:val="20"/>
          <w:szCs w:val="20"/>
        </w:rPr>
        <w:t xml:space="preserve">abundance </w:t>
      </w:r>
      <w:r w:rsidR="00D6495D" w:rsidRPr="00392AEE">
        <w:rPr>
          <w:rFonts w:ascii="Georgia" w:hAnsi="Georgia"/>
          <w:b w:val="0"/>
          <w:sz w:val="20"/>
          <w:szCs w:val="20"/>
        </w:rPr>
        <w:t xml:space="preserve">and richness </w:t>
      </w:r>
      <w:r w:rsidRPr="00392AEE">
        <w:rPr>
          <w:rFonts w:ascii="Georgia" w:hAnsi="Georgia"/>
          <w:b w:val="0"/>
          <w:sz w:val="20"/>
          <w:szCs w:val="20"/>
        </w:rPr>
        <w:t xml:space="preserve">data show </w:t>
      </w:r>
      <w:r w:rsidR="00D6495D" w:rsidRPr="00392AEE">
        <w:rPr>
          <w:rFonts w:ascii="Georgia" w:hAnsi="Georgia"/>
          <w:b w:val="0"/>
          <w:sz w:val="20"/>
          <w:szCs w:val="20"/>
        </w:rPr>
        <w:t>some</w:t>
      </w:r>
      <w:r w:rsidRPr="00392AEE">
        <w:rPr>
          <w:rFonts w:ascii="Georgia" w:hAnsi="Georgia"/>
          <w:b w:val="0"/>
          <w:sz w:val="20"/>
          <w:szCs w:val="20"/>
        </w:rPr>
        <w:t xml:space="preserve"> asymmetry suggesting the possibility of publication bias (Figure </w:t>
      </w:r>
      <w:r w:rsidR="00A45216">
        <w:rPr>
          <w:rFonts w:ascii="Georgia" w:hAnsi="Georgia"/>
          <w:b w:val="0"/>
          <w:sz w:val="20"/>
          <w:szCs w:val="20"/>
        </w:rPr>
        <w:t>A9-</w:t>
      </w:r>
      <w:r w:rsidR="00ED0AB4" w:rsidRPr="00392AEE">
        <w:rPr>
          <w:rFonts w:ascii="Georgia" w:hAnsi="Georgia"/>
          <w:b w:val="0"/>
          <w:sz w:val="20"/>
          <w:szCs w:val="20"/>
        </w:rPr>
        <w:t>2</w:t>
      </w:r>
      <w:r w:rsidRPr="00392AEE">
        <w:rPr>
          <w:rFonts w:ascii="Georgia" w:hAnsi="Georgia"/>
          <w:b w:val="0"/>
          <w:sz w:val="20"/>
          <w:szCs w:val="20"/>
        </w:rPr>
        <w:t>)</w:t>
      </w:r>
      <w:r w:rsidR="00D6495D" w:rsidRPr="00392AEE">
        <w:rPr>
          <w:rFonts w:ascii="Georgia" w:hAnsi="Georgia"/>
          <w:b w:val="0"/>
          <w:sz w:val="20"/>
          <w:szCs w:val="20"/>
        </w:rPr>
        <w:t>. The pattern</w:t>
      </w:r>
      <w:r w:rsidRPr="00392AEE">
        <w:rPr>
          <w:rFonts w:ascii="Georgia" w:hAnsi="Georgia"/>
          <w:b w:val="0"/>
          <w:sz w:val="20"/>
          <w:szCs w:val="20"/>
        </w:rPr>
        <w:t xml:space="preserve"> indicates that studies with high precision (due to a large number of observations) generally reported effect sizes somewhat closer to zero than studies with lower precision.</w:t>
      </w:r>
      <w:r w:rsidRPr="005C3720">
        <w:rPr>
          <w:sz w:val="20"/>
          <w:szCs w:val="20"/>
        </w:rPr>
        <w:t xml:space="preserve"> </w:t>
      </w:r>
    </w:p>
    <w:p w14:paraId="6E392E17" w14:textId="77777777" w:rsidR="00A53D7B" w:rsidRPr="00A53D7B" w:rsidRDefault="00A53D7B" w:rsidP="00A53D7B">
      <w:pPr>
        <w:rPr>
          <w:lang w:val="en-US" w:eastAsia="sv-SE"/>
        </w:rPr>
      </w:pPr>
    </w:p>
    <w:p w14:paraId="667EC993" w14:textId="77777777" w:rsidR="00ED0AB4" w:rsidRDefault="00ED0AB4" w:rsidP="00F24B98">
      <w:pPr>
        <w:suppressAutoHyphens/>
        <w:spacing w:after="0"/>
        <w:rPr>
          <w:sz w:val="20"/>
          <w:szCs w:val="20"/>
        </w:rPr>
      </w:pPr>
    </w:p>
    <w:p w14:paraId="67B42A99" w14:textId="20760C89" w:rsidR="00F24B98" w:rsidRDefault="00ED0AB4" w:rsidP="00F24B98">
      <w:pPr>
        <w:suppressAutoHyphens/>
        <w:spacing w:after="0"/>
        <w:rPr>
          <w:rFonts w:ascii="HelveticaNeueLT Pro 55 Roman" w:hAnsi="HelveticaNeueLT Pro 55 Roman"/>
          <w:bCs/>
          <w:iCs/>
          <w:sz w:val="18"/>
          <w:szCs w:val="18"/>
        </w:rPr>
      </w:pPr>
      <w:r>
        <w:rPr>
          <w:noProof/>
          <w:sz w:val="20"/>
          <w:szCs w:val="20"/>
          <w:lang w:val="en-US"/>
        </w:rPr>
        <w:drawing>
          <wp:inline distT="0" distB="0" distL="0" distR="0" wp14:anchorId="6DA5785C" wp14:editId="2B3DE5CC">
            <wp:extent cx="5972810" cy="3818890"/>
            <wp:effectExtent l="0" t="0" r="889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R12funne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81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6A6B">
        <w:rPr>
          <w:rFonts w:ascii="HelveticaNeueLT Pro 55 Roman" w:hAnsi="HelveticaNeueLT Pro 55 Roman"/>
          <w:b/>
          <w:sz w:val="18"/>
          <w:szCs w:val="18"/>
        </w:rPr>
        <w:br/>
      </w:r>
      <w:r w:rsidR="006A6886" w:rsidRPr="005C3720">
        <w:rPr>
          <w:sz w:val="20"/>
          <w:szCs w:val="20"/>
        </w:rPr>
        <w:br/>
      </w:r>
      <w:r w:rsidR="00F24B98" w:rsidRPr="00ED0AB4">
        <w:rPr>
          <w:rFonts w:ascii="HelveticaNeueLT Pro 55 Roman" w:hAnsi="HelveticaNeueLT Pro 55 Roman"/>
          <w:b/>
          <w:sz w:val="18"/>
          <w:szCs w:val="18"/>
        </w:rPr>
        <w:t xml:space="preserve">Figure </w:t>
      </w:r>
      <w:r w:rsidR="00A45216">
        <w:rPr>
          <w:rFonts w:ascii="HelveticaNeueLT Pro 55 Roman" w:hAnsi="HelveticaNeueLT Pro 55 Roman"/>
          <w:b/>
          <w:sz w:val="18"/>
          <w:szCs w:val="18"/>
        </w:rPr>
        <w:t>A9-</w:t>
      </w:r>
      <w:r w:rsidRPr="00ED0AB4">
        <w:rPr>
          <w:rFonts w:ascii="HelveticaNeueLT Pro 55 Roman" w:hAnsi="HelveticaNeueLT Pro 55 Roman"/>
          <w:b/>
          <w:sz w:val="18"/>
          <w:szCs w:val="18"/>
        </w:rPr>
        <w:t>2</w:t>
      </w:r>
      <w:r w:rsidR="00F24B98" w:rsidRPr="00ED0AB4">
        <w:rPr>
          <w:rFonts w:ascii="HelveticaNeueLT Pro 55 Roman" w:hAnsi="HelveticaNeueLT Pro 55 Roman"/>
          <w:b/>
          <w:sz w:val="18"/>
          <w:szCs w:val="18"/>
        </w:rPr>
        <w:t xml:space="preserve">. Funnel plots for </w:t>
      </w:r>
      <w:r w:rsidRPr="00ED0AB4">
        <w:rPr>
          <w:rFonts w:ascii="HelveticaNeueLT Pro 55 Roman" w:hAnsi="HelveticaNeueLT Pro 55 Roman"/>
          <w:b/>
          <w:sz w:val="18"/>
          <w:szCs w:val="18"/>
        </w:rPr>
        <w:t xml:space="preserve">responses of </w:t>
      </w:r>
      <w:r w:rsidR="00F24B98" w:rsidRPr="00ED0AB4">
        <w:rPr>
          <w:rFonts w:ascii="HelveticaNeueLT Pro 55 Roman" w:hAnsi="HelveticaNeueLT Pro 55 Roman"/>
          <w:b/>
          <w:sz w:val="18"/>
          <w:szCs w:val="18"/>
        </w:rPr>
        <w:t>saproxylic in</w:t>
      </w:r>
      <w:r w:rsidRPr="00ED0AB4">
        <w:rPr>
          <w:rFonts w:ascii="HelveticaNeueLT Pro 55 Roman" w:hAnsi="HelveticaNeueLT Pro 55 Roman"/>
          <w:b/>
          <w:sz w:val="18"/>
          <w:szCs w:val="18"/>
        </w:rPr>
        <w:t xml:space="preserve">sect abundance and richness to dead-wood manipulation. </w:t>
      </w:r>
      <w:r w:rsidRPr="00ED0AB4">
        <w:rPr>
          <w:rFonts w:ascii="HelveticaNeueLT Pro 55 Roman" w:hAnsi="HelveticaNeueLT Pro 55 Roman"/>
          <w:bCs/>
          <w:iCs/>
          <w:sz w:val="18"/>
          <w:szCs w:val="18"/>
        </w:rPr>
        <w:t xml:space="preserve">The inverse square root of the sample size is used as a measure of precision. Background shadings have been applied to facilitate comparison but have no particular significance.   </w:t>
      </w:r>
    </w:p>
    <w:p w14:paraId="1B873BCC" w14:textId="6BE67016" w:rsidR="006D49DA" w:rsidRDefault="006D49DA" w:rsidP="00F24B98">
      <w:pPr>
        <w:suppressAutoHyphens/>
        <w:spacing w:after="0"/>
        <w:rPr>
          <w:sz w:val="20"/>
          <w:szCs w:val="20"/>
        </w:rPr>
      </w:pPr>
    </w:p>
    <w:p w14:paraId="0266E5F2" w14:textId="77777777" w:rsidR="00A53D7B" w:rsidRPr="00656C51" w:rsidRDefault="00A53D7B" w:rsidP="00F24B98">
      <w:pPr>
        <w:suppressAutoHyphens/>
        <w:spacing w:after="0"/>
        <w:rPr>
          <w:sz w:val="20"/>
          <w:szCs w:val="20"/>
        </w:rPr>
      </w:pPr>
    </w:p>
    <w:p w14:paraId="10F14E4D" w14:textId="06F853EE" w:rsidR="00F24B98" w:rsidRPr="00103FA7" w:rsidRDefault="00F24B98" w:rsidP="00392AEE">
      <w:pPr>
        <w:suppressAutoHyphens/>
        <w:spacing w:after="0" w:line="360" w:lineRule="auto"/>
      </w:pPr>
    </w:p>
    <w:p w14:paraId="182F5F46" w14:textId="2ECD9F70" w:rsidR="00392AEE" w:rsidRDefault="00ED0AB4" w:rsidP="00392AEE">
      <w:pPr>
        <w:spacing w:after="160" w:line="360" w:lineRule="auto"/>
        <w:rPr>
          <w:sz w:val="20"/>
          <w:szCs w:val="20"/>
        </w:rPr>
      </w:pPr>
      <w:r>
        <w:rPr>
          <w:sz w:val="20"/>
          <w:szCs w:val="20"/>
        </w:rPr>
        <w:t>W</w:t>
      </w:r>
      <w:r w:rsidR="00F24B98" w:rsidRPr="00DD2CF4">
        <w:rPr>
          <w:sz w:val="20"/>
          <w:szCs w:val="20"/>
        </w:rPr>
        <w:t>e also calculated fail-safe numbers (Rosenthal</w:t>
      </w:r>
      <w:r>
        <w:rPr>
          <w:sz w:val="20"/>
          <w:szCs w:val="20"/>
        </w:rPr>
        <w:t xml:space="preserve"> 1979</w:t>
      </w:r>
      <w:r w:rsidR="00392AEE">
        <w:rPr>
          <w:sz w:val="20"/>
          <w:szCs w:val="20"/>
        </w:rPr>
        <w:t>) for</w:t>
      </w:r>
      <w:r w:rsidR="00F24B98" w:rsidRPr="00DD2CF4">
        <w:rPr>
          <w:sz w:val="20"/>
          <w:szCs w:val="20"/>
        </w:rPr>
        <w:t xml:space="preserve"> species groups </w:t>
      </w:r>
      <w:r w:rsidR="00392AEE">
        <w:rPr>
          <w:sz w:val="20"/>
          <w:szCs w:val="20"/>
        </w:rPr>
        <w:t xml:space="preserve">with </w:t>
      </w:r>
      <w:r w:rsidR="006D49DA">
        <w:rPr>
          <w:sz w:val="20"/>
          <w:szCs w:val="20"/>
        </w:rPr>
        <w:t xml:space="preserve">the highest numbers of </w:t>
      </w:r>
      <w:r w:rsidR="00392AEE">
        <w:rPr>
          <w:sz w:val="20"/>
          <w:szCs w:val="20"/>
        </w:rPr>
        <w:t xml:space="preserve">comparisons </w:t>
      </w:r>
      <w:r w:rsidR="00F24B98" w:rsidRPr="00DD2CF4">
        <w:rPr>
          <w:sz w:val="20"/>
          <w:szCs w:val="20"/>
        </w:rPr>
        <w:t>(</w:t>
      </w:r>
      <w:r w:rsidR="006A6886">
        <w:rPr>
          <w:sz w:val="20"/>
          <w:szCs w:val="20"/>
        </w:rPr>
        <w:t>T</w:t>
      </w:r>
      <w:r w:rsidR="00F24B98" w:rsidRPr="00DD2CF4">
        <w:rPr>
          <w:sz w:val="20"/>
          <w:szCs w:val="20"/>
        </w:rPr>
        <w:t xml:space="preserve">able </w:t>
      </w:r>
      <w:r w:rsidR="00A45216">
        <w:rPr>
          <w:sz w:val="20"/>
          <w:szCs w:val="20"/>
        </w:rPr>
        <w:t>A9-</w:t>
      </w:r>
      <w:r w:rsidR="006A6886">
        <w:rPr>
          <w:sz w:val="20"/>
          <w:szCs w:val="20"/>
        </w:rPr>
        <w:t>3</w:t>
      </w:r>
      <w:r w:rsidR="00F24B98" w:rsidRPr="00DD2CF4">
        <w:rPr>
          <w:sz w:val="20"/>
          <w:szCs w:val="20"/>
        </w:rPr>
        <w:t xml:space="preserve">). The </w:t>
      </w:r>
      <w:r>
        <w:rPr>
          <w:sz w:val="20"/>
          <w:szCs w:val="20"/>
        </w:rPr>
        <w:t>outcomes</w:t>
      </w:r>
      <w:r w:rsidR="00F24B98" w:rsidRPr="00DD2CF4">
        <w:rPr>
          <w:sz w:val="20"/>
          <w:szCs w:val="20"/>
        </w:rPr>
        <w:t xml:space="preserve"> </w:t>
      </w:r>
      <w:r>
        <w:rPr>
          <w:sz w:val="20"/>
          <w:szCs w:val="20"/>
        </w:rPr>
        <w:t>indicate</w:t>
      </w:r>
      <w:r w:rsidR="00F24B98" w:rsidRPr="00DD2CF4">
        <w:rPr>
          <w:sz w:val="20"/>
          <w:szCs w:val="20"/>
        </w:rPr>
        <w:t xml:space="preserve"> that the results for saproxylic insects </w:t>
      </w:r>
      <w:r>
        <w:rPr>
          <w:sz w:val="20"/>
          <w:szCs w:val="20"/>
        </w:rPr>
        <w:t>are</w:t>
      </w:r>
      <w:r w:rsidR="00392AEE">
        <w:rPr>
          <w:sz w:val="20"/>
          <w:szCs w:val="20"/>
        </w:rPr>
        <w:t xml:space="preserve"> robust</w:t>
      </w:r>
      <w:r w:rsidR="00606A6B">
        <w:rPr>
          <w:sz w:val="20"/>
          <w:szCs w:val="20"/>
        </w:rPr>
        <w:t>, with fail-safe numbers</w:t>
      </w:r>
      <w:r w:rsidR="00392AEE">
        <w:rPr>
          <w:sz w:val="20"/>
          <w:szCs w:val="20"/>
        </w:rPr>
        <w:t xml:space="preserve"> well </w:t>
      </w:r>
      <w:r w:rsidR="00606A6B">
        <w:rPr>
          <w:sz w:val="20"/>
          <w:szCs w:val="20"/>
        </w:rPr>
        <w:t>above</w:t>
      </w:r>
      <w:r w:rsidR="00F24B98" w:rsidRPr="00DD2CF4">
        <w:rPr>
          <w:sz w:val="20"/>
          <w:szCs w:val="20"/>
        </w:rPr>
        <w:t xml:space="preserve"> threshold value</w:t>
      </w:r>
      <w:r w:rsidR="00606A6B">
        <w:rPr>
          <w:sz w:val="20"/>
          <w:szCs w:val="20"/>
        </w:rPr>
        <w:t>s</w:t>
      </w:r>
      <w:r w:rsidR="00F24B98" w:rsidRPr="00DD2CF4">
        <w:rPr>
          <w:sz w:val="20"/>
          <w:szCs w:val="20"/>
        </w:rPr>
        <w:t xml:space="preserve"> suggested by Rosenthal (1979)</w:t>
      </w:r>
      <w:r w:rsidR="00392AEE">
        <w:rPr>
          <w:sz w:val="20"/>
          <w:szCs w:val="20"/>
        </w:rPr>
        <w:t>, bu</w:t>
      </w:r>
      <w:r w:rsidR="00DF6F83">
        <w:rPr>
          <w:sz w:val="20"/>
          <w:szCs w:val="20"/>
        </w:rPr>
        <w:t>t less robust for other species groups</w:t>
      </w:r>
      <w:r w:rsidR="00F24B98" w:rsidRPr="00DD2CF4">
        <w:rPr>
          <w:sz w:val="20"/>
          <w:szCs w:val="20"/>
        </w:rPr>
        <w:t>.</w:t>
      </w:r>
    </w:p>
    <w:p w14:paraId="29C41807" w14:textId="7E36418C" w:rsidR="00FF6125" w:rsidRPr="00A45216" w:rsidRDefault="000F03AD" w:rsidP="00A45216">
      <w:pPr>
        <w:spacing w:after="160" w:line="360" w:lineRule="auto"/>
        <w:jc w:val="center"/>
        <w:rPr>
          <w:rFonts w:ascii="HelveticaNeueLT Pro 55 Roman" w:hAnsi="HelveticaNeueLT Pro 55 Roman"/>
        </w:rPr>
      </w:pPr>
      <w:r w:rsidRPr="00A45216">
        <w:rPr>
          <w:rFonts w:ascii="HelveticaNeueLT Pro 55 Roman" w:hAnsi="HelveticaNeueLT Pro 55 Roman"/>
          <w:b/>
        </w:rPr>
        <w:t xml:space="preserve">Table </w:t>
      </w:r>
      <w:r w:rsidR="00A45216" w:rsidRPr="00A45216">
        <w:rPr>
          <w:rFonts w:ascii="HelveticaNeueLT Pro 55 Roman" w:hAnsi="HelveticaNeueLT Pro 55 Roman"/>
          <w:b/>
        </w:rPr>
        <w:t>A9-</w:t>
      </w:r>
      <w:r w:rsidRPr="00A45216">
        <w:rPr>
          <w:rFonts w:ascii="HelveticaNeueLT Pro 55 Roman" w:hAnsi="HelveticaNeueLT Pro 55 Roman"/>
          <w:b/>
        </w:rPr>
        <w:t>3. Fail-safe numbers (Rosenthal)</w:t>
      </w:r>
      <w:r w:rsidRPr="00A45216">
        <w:rPr>
          <w:rFonts w:ascii="HelveticaNeueLT Pro 55 Roman" w:hAnsi="HelveticaNeueLT Pro 55 Roman"/>
        </w:rPr>
        <w:t xml:space="preserve"> </w:t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2176"/>
        <w:gridCol w:w="2639"/>
        <w:gridCol w:w="992"/>
        <w:gridCol w:w="2693"/>
        <w:gridCol w:w="993"/>
      </w:tblGrid>
      <w:tr w:rsidR="00606A6B" w:rsidRPr="00DD2CF4" w14:paraId="36BDECEE" w14:textId="77777777" w:rsidTr="000803EA">
        <w:trPr>
          <w:trHeight w:val="243"/>
        </w:trPr>
        <w:tc>
          <w:tcPr>
            <w:tcW w:w="2176" w:type="dxa"/>
            <w:noWrap/>
          </w:tcPr>
          <w:p w14:paraId="62DA83B5" w14:textId="77777777" w:rsidR="00606A6B" w:rsidRPr="006A6886" w:rsidRDefault="00606A6B" w:rsidP="00FF6125">
            <w:pPr>
              <w:suppressAutoHyphens/>
              <w:spacing w:before="60" w:after="60" w:line="240" w:lineRule="auto"/>
              <w:rPr>
                <w:rFonts w:ascii="HelveticaNeueLT Pro 55 Roman" w:eastAsia="Times New Roman" w:hAnsi="HelveticaNeueLT Pro 55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3631" w:type="dxa"/>
            <w:gridSpan w:val="2"/>
            <w:noWrap/>
          </w:tcPr>
          <w:p w14:paraId="159C00BF" w14:textId="6B7AD75F" w:rsidR="00606A6B" w:rsidRPr="006A6886" w:rsidRDefault="00606A6B" w:rsidP="00FF6125">
            <w:pPr>
              <w:suppressAutoHyphens/>
              <w:spacing w:before="60" w:after="60" w:line="240" w:lineRule="auto"/>
              <w:jc w:val="center"/>
              <w:rPr>
                <w:rFonts w:ascii="HelveticaNeueLT Pro 55 Roman" w:eastAsia="Times New Roman" w:hAnsi="HelveticaNeueLT Pro 55 Roman" w:cs="Times New Roman"/>
                <w:b/>
                <w:color w:val="000000"/>
                <w:sz w:val="18"/>
                <w:szCs w:val="18"/>
                <w:lang w:eastAsia="sv-SE"/>
              </w:rPr>
            </w:pPr>
            <w:r w:rsidRPr="006A6886">
              <w:rPr>
                <w:rFonts w:ascii="HelveticaNeueLT Pro 55 Roman" w:eastAsia="Times New Roman" w:hAnsi="HelveticaNeueLT Pro 55 Roman" w:cs="Times New Roman"/>
                <w:b/>
                <w:color w:val="000000"/>
                <w:sz w:val="18"/>
                <w:szCs w:val="18"/>
                <w:lang w:eastAsia="sv-SE"/>
              </w:rPr>
              <w:t>Abundance</w:t>
            </w:r>
          </w:p>
        </w:tc>
        <w:tc>
          <w:tcPr>
            <w:tcW w:w="3686" w:type="dxa"/>
            <w:gridSpan w:val="2"/>
            <w:noWrap/>
          </w:tcPr>
          <w:p w14:paraId="40206B37" w14:textId="66470444" w:rsidR="00606A6B" w:rsidRPr="006A6886" w:rsidRDefault="00606A6B" w:rsidP="00FF6125">
            <w:pPr>
              <w:suppressAutoHyphens/>
              <w:spacing w:before="60" w:after="60" w:line="240" w:lineRule="auto"/>
              <w:jc w:val="center"/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</w:pPr>
            <w:r w:rsidRPr="006A6886">
              <w:rPr>
                <w:rFonts w:ascii="HelveticaNeueLT Pro 55 Roman" w:eastAsia="Times New Roman" w:hAnsi="HelveticaNeueLT Pro 55 Roman" w:cs="Times New Roman"/>
                <w:b/>
                <w:color w:val="000000"/>
                <w:sz w:val="18"/>
                <w:szCs w:val="18"/>
                <w:lang w:eastAsia="sv-SE"/>
              </w:rPr>
              <w:t>Richness</w:t>
            </w:r>
          </w:p>
        </w:tc>
      </w:tr>
      <w:tr w:rsidR="00FF6125" w:rsidRPr="00DD2CF4" w14:paraId="7951AE5D" w14:textId="77777777" w:rsidTr="00FF6125">
        <w:trPr>
          <w:trHeight w:val="243"/>
        </w:trPr>
        <w:tc>
          <w:tcPr>
            <w:tcW w:w="2176" w:type="dxa"/>
            <w:noWrap/>
            <w:hideMark/>
          </w:tcPr>
          <w:p w14:paraId="2F373909" w14:textId="77777777" w:rsidR="00FF6125" w:rsidRPr="006A6886" w:rsidRDefault="00FF6125" w:rsidP="00FF6125">
            <w:pPr>
              <w:suppressAutoHyphens/>
              <w:spacing w:before="60" w:after="60" w:line="240" w:lineRule="auto"/>
              <w:rPr>
                <w:rFonts w:ascii="HelveticaNeueLT Pro 55 Roman" w:eastAsia="Times New Roman" w:hAnsi="HelveticaNeueLT Pro 55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2639" w:type="dxa"/>
            <w:noWrap/>
            <w:hideMark/>
          </w:tcPr>
          <w:p w14:paraId="7493C830" w14:textId="36100040" w:rsidR="00FF6125" w:rsidRPr="006A6886" w:rsidRDefault="00FF6125" w:rsidP="00FF6125">
            <w:pPr>
              <w:suppressAutoHyphens/>
              <w:spacing w:before="60" w:after="60" w:line="240" w:lineRule="auto"/>
              <w:jc w:val="center"/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</w:pPr>
            <w:r w:rsidRPr="006A6886"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  <w:t xml:space="preserve">Rosenthal fail-safe number </w:t>
            </w:r>
          </w:p>
        </w:tc>
        <w:tc>
          <w:tcPr>
            <w:tcW w:w="992" w:type="dxa"/>
            <w:noWrap/>
            <w:hideMark/>
          </w:tcPr>
          <w:p w14:paraId="6473C2EF" w14:textId="77777777" w:rsidR="00FF6125" w:rsidRPr="006A6886" w:rsidRDefault="00FF6125" w:rsidP="00FF6125">
            <w:pPr>
              <w:suppressAutoHyphens/>
              <w:spacing w:before="60" w:after="60" w:line="240" w:lineRule="auto"/>
              <w:jc w:val="center"/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</w:pPr>
            <w:r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  <w:t>5n</w:t>
            </w:r>
            <w:r w:rsidRPr="006A6886"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  <w:t>+10</w:t>
            </w:r>
          </w:p>
        </w:tc>
        <w:tc>
          <w:tcPr>
            <w:tcW w:w="2693" w:type="dxa"/>
            <w:noWrap/>
            <w:hideMark/>
          </w:tcPr>
          <w:p w14:paraId="480A416F" w14:textId="1EE662C8" w:rsidR="00FF6125" w:rsidRPr="006A6886" w:rsidRDefault="00FF6125" w:rsidP="00FF6125">
            <w:pPr>
              <w:suppressAutoHyphens/>
              <w:spacing w:before="60" w:after="60" w:line="240" w:lineRule="auto"/>
              <w:jc w:val="center"/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</w:pPr>
            <w:r w:rsidRPr="006A6886"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  <w:t xml:space="preserve">Rosenthal fail-safe number </w:t>
            </w:r>
          </w:p>
        </w:tc>
        <w:tc>
          <w:tcPr>
            <w:tcW w:w="993" w:type="dxa"/>
            <w:noWrap/>
            <w:hideMark/>
          </w:tcPr>
          <w:p w14:paraId="4C7D2DC5" w14:textId="77777777" w:rsidR="00FF6125" w:rsidRPr="006A6886" w:rsidRDefault="00FF6125" w:rsidP="00FF6125">
            <w:pPr>
              <w:suppressAutoHyphens/>
              <w:spacing w:before="60" w:after="60" w:line="240" w:lineRule="auto"/>
              <w:jc w:val="center"/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</w:pPr>
            <w:r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  <w:t>5n</w:t>
            </w:r>
            <w:r w:rsidRPr="006A6886"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  <w:t>+10</w:t>
            </w:r>
          </w:p>
        </w:tc>
      </w:tr>
      <w:tr w:rsidR="00FF6125" w:rsidRPr="00DD2CF4" w14:paraId="2BCDF5B5" w14:textId="77777777" w:rsidTr="00FF6125">
        <w:trPr>
          <w:trHeight w:val="243"/>
        </w:trPr>
        <w:tc>
          <w:tcPr>
            <w:tcW w:w="2176" w:type="dxa"/>
            <w:noWrap/>
            <w:hideMark/>
          </w:tcPr>
          <w:p w14:paraId="4D9B10C8" w14:textId="77777777" w:rsidR="00FF6125" w:rsidRPr="006A6886" w:rsidRDefault="00FF6125" w:rsidP="00FF6125">
            <w:pPr>
              <w:suppressAutoHyphens/>
              <w:spacing w:before="60" w:after="60" w:line="240" w:lineRule="auto"/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</w:pPr>
            <w:r w:rsidRPr="006A6886"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  <w:t>Saproxylic insects</w:t>
            </w:r>
          </w:p>
        </w:tc>
        <w:tc>
          <w:tcPr>
            <w:tcW w:w="2639" w:type="dxa"/>
            <w:noWrap/>
            <w:hideMark/>
          </w:tcPr>
          <w:p w14:paraId="50DFB12E" w14:textId="77777777" w:rsidR="00FF6125" w:rsidRPr="006A6886" w:rsidRDefault="00FF6125" w:rsidP="00FF6125">
            <w:pPr>
              <w:suppressAutoHyphens/>
              <w:spacing w:before="60" w:after="60" w:line="240" w:lineRule="auto"/>
              <w:jc w:val="center"/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</w:pPr>
            <w:r w:rsidRPr="006A6886"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  <w:t>1134</w:t>
            </w:r>
          </w:p>
        </w:tc>
        <w:tc>
          <w:tcPr>
            <w:tcW w:w="992" w:type="dxa"/>
            <w:noWrap/>
            <w:hideMark/>
          </w:tcPr>
          <w:p w14:paraId="309D1A76" w14:textId="77777777" w:rsidR="00FF6125" w:rsidRPr="006A6886" w:rsidRDefault="00FF6125" w:rsidP="00FF6125">
            <w:pPr>
              <w:suppressAutoHyphens/>
              <w:spacing w:before="60" w:after="60" w:line="240" w:lineRule="auto"/>
              <w:jc w:val="center"/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</w:pPr>
            <w:r w:rsidRPr="006A6886"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  <w:t>245</w:t>
            </w:r>
          </w:p>
        </w:tc>
        <w:tc>
          <w:tcPr>
            <w:tcW w:w="2693" w:type="dxa"/>
            <w:noWrap/>
            <w:hideMark/>
          </w:tcPr>
          <w:p w14:paraId="160CF829" w14:textId="77777777" w:rsidR="00FF6125" w:rsidRPr="006A6886" w:rsidRDefault="00FF6125" w:rsidP="00FF6125">
            <w:pPr>
              <w:suppressAutoHyphens/>
              <w:spacing w:before="60" w:after="60" w:line="240" w:lineRule="auto"/>
              <w:jc w:val="center"/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</w:pPr>
            <w:r w:rsidRPr="006A6886"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  <w:t>1059</w:t>
            </w:r>
          </w:p>
        </w:tc>
        <w:tc>
          <w:tcPr>
            <w:tcW w:w="993" w:type="dxa"/>
            <w:noWrap/>
            <w:hideMark/>
          </w:tcPr>
          <w:p w14:paraId="0A9907D4" w14:textId="77777777" w:rsidR="00FF6125" w:rsidRPr="006A6886" w:rsidRDefault="00FF6125" w:rsidP="00FF6125">
            <w:pPr>
              <w:suppressAutoHyphens/>
              <w:spacing w:before="60" w:after="60" w:line="240" w:lineRule="auto"/>
              <w:jc w:val="center"/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</w:pPr>
            <w:r w:rsidRPr="006A6886"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  <w:t>160</w:t>
            </w:r>
          </w:p>
        </w:tc>
      </w:tr>
      <w:tr w:rsidR="00FF6125" w:rsidRPr="00DD2CF4" w14:paraId="1753A323" w14:textId="77777777" w:rsidTr="00FF6125">
        <w:trPr>
          <w:trHeight w:val="243"/>
        </w:trPr>
        <w:tc>
          <w:tcPr>
            <w:tcW w:w="2176" w:type="dxa"/>
            <w:noWrap/>
          </w:tcPr>
          <w:p w14:paraId="1757E23E" w14:textId="77777777" w:rsidR="00FF6125" w:rsidRPr="006A6886" w:rsidRDefault="00FF6125" w:rsidP="00FF6125">
            <w:pPr>
              <w:suppressAutoHyphens/>
              <w:spacing w:before="60" w:after="60" w:line="240" w:lineRule="auto"/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</w:pPr>
            <w:r w:rsidRPr="006A6886"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  <w:t>P</w:t>
            </w:r>
            <w:r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  <w:t xml:space="preserve">est </w:t>
            </w:r>
            <w:r w:rsidRPr="006A6886"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  <w:t>species</w:t>
            </w:r>
          </w:p>
        </w:tc>
        <w:tc>
          <w:tcPr>
            <w:tcW w:w="2639" w:type="dxa"/>
            <w:noWrap/>
          </w:tcPr>
          <w:p w14:paraId="218F34EC" w14:textId="77777777" w:rsidR="00FF6125" w:rsidRPr="006A6886" w:rsidRDefault="00FF6125" w:rsidP="00FF6125">
            <w:pPr>
              <w:suppressAutoHyphens/>
              <w:spacing w:before="60" w:after="60" w:line="240" w:lineRule="auto"/>
              <w:jc w:val="center"/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</w:pPr>
            <w:r w:rsidRPr="006A6886"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  <w:t>26</w:t>
            </w:r>
          </w:p>
        </w:tc>
        <w:tc>
          <w:tcPr>
            <w:tcW w:w="992" w:type="dxa"/>
            <w:noWrap/>
          </w:tcPr>
          <w:p w14:paraId="0DEE17C1" w14:textId="77777777" w:rsidR="00FF6125" w:rsidRPr="006A6886" w:rsidRDefault="00FF6125" w:rsidP="00FF6125">
            <w:pPr>
              <w:suppressAutoHyphens/>
              <w:spacing w:before="60" w:after="60" w:line="240" w:lineRule="auto"/>
              <w:jc w:val="center"/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</w:pPr>
            <w:r w:rsidRPr="006A6886"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  <w:t>80</w:t>
            </w:r>
          </w:p>
        </w:tc>
        <w:tc>
          <w:tcPr>
            <w:tcW w:w="2693" w:type="dxa"/>
            <w:noWrap/>
          </w:tcPr>
          <w:p w14:paraId="02120EAD" w14:textId="77777777" w:rsidR="00FF6125" w:rsidRPr="006A6886" w:rsidRDefault="00FF6125" w:rsidP="00FF6125">
            <w:pPr>
              <w:suppressAutoHyphens/>
              <w:spacing w:before="60" w:after="60" w:line="240" w:lineRule="auto"/>
              <w:jc w:val="center"/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993" w:type="dxa"/>
            <w:noWrap/>
          </w:tcPr>
          <w:p w14:paraId="09C9A1DF" w14:textId="77777777" w:rsidR="00FF6125" w:rsidRPr="006A6886" w:rsidRDefault="00FF6125" w:rsidP="00FF6125">
            <w:pPr>
              <w:suppressAutoHyphens/>
              <w:spacing w:before="60" w:after="60" w:line="240" w:lineRule="auto"/>
              <w:jc w:val="center"/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</w:pPr>
          </w:p>
        </w:tc>
      </w:tr>
      <w:tr w:rsidR="00FF6125" w:rsidRPr="00DD2CF4" w14:paraId="1EE45E59" w14:textId="77777777" w:rsidTr="00FF6125">
        <w:trPr>
          <w:trHeight w:val="243"/>
        </w:trPr>
        <w:tc>
          <w:tcPr>
            <w:tcW w:w="2176" w:type="dxa"/>
            <w:noWrap/>
            <w:hideMark/>
          </w:tcPr>
          <w:p w14:paraId="7EA625E2" w14:textId="77777777" w:rsidR="00FF6125" w:rsidRPr="006A6886" w:rsidRDefault="00FF6125" w:rsidP="00FF6125">
            <w:pPr>
              <w:suppressAutoHyphens/>
              <w:spacing w:before="60" w:after="60" w:line="240" w:lineRule="auto"/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</w:pPr>
            <w:r w:rsidRPr="006A6886"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  <w:t>Ground insects</w:t>
            </w:r>
          </w:p>
        </w:tc>
        <w:tc>
          <w:tcPr>
            <w:tcW w:w="2639" w:type="dxa"/>
            <w:noWrap/>
            <w:hideMark/>
          </w:tcPr>
          <w:p w14:paraId="47083830" w14:textId="77777777" w:rsidR="00FF6125" w:rsidRPr="006A6886" w:rsidRDefault="00FF6125" w:rsidP="00FF6125">
            <w:pPr>
              <w:suppressAutoHyphens/>
              <w:spacing w:before="60" w:after="60" w:line="240" w:lineRule="auto"/>
              <w:jc w:val="center"/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</w:pPr>
            <w:r w:rsidRPr="006A6886"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21606D05" w14:textId="77777777" w:rsidR="00FF6125" w:rsidRPr="006A6886" w:rsidRDefault="00FF6125" w:rsidP="00FF6125">
            <w:pPr>
              <w:suppressAutoHyphens/>
              <w:spacing w:before="60" w:after="60" w:line="240" w:lineRule="auto"/>
              <w:jc w:val="center"/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</w:pPr>
            <w:r w:rsidRPr="006A6886"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  <w:t>40</w:t>
            </w:r>
          </w:p>
        </w:tc>
        <w:tc>
          <w:tcPr>
            <w:tcW w:w="2693" w:type="dxa"/>
            <w:noWrap/>
            <w:hideMark/>
          </w:tcPr>
          <w:p w14:paraId="0B431BA8" w14:textId="77777777" w:rsidR="00FF6125" w:rsidRPr="006A6886" w:rsidRDefault="00FF6125" w:rsidP="00FF6125">
            <w:pPr>
              <w:suppressAutoHyphens/>
              <w:spacing w:before="60" w:after="60" w:line="240" w:lineRule="auto"/>
              <w:jc w:val="center"/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</w:pPr>
            <w:r w:rsidRPr="006A6886"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  <w:t>0</w:t>
            </w:r>
          </w:p>
        </w:tc>
        <w:tc>
          <w:tcPr>
            <w:tcW w:w="993" w:type="dxa"/>
            <w:noWrap/>
            <w:hideMark/>
          </w:tcPr>
          <w:p w14:paraId="2888B068" w14:textId="77777777" w:rsidR="00FF6125" w:rsidRPr="006A6886" w:rsidRDefault="00FF6125" w:rsidP="00FF6125">
            <w:pPr>
              <w:suppressAutoHyphens/>
              <w:spacing w:before="60" w:after="60" w:line="240" w:lineRule="auto"/>
              <w:jc w:val="center"/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</w:pPr>
            <w:r w:rsidRPr="006A6886"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  <w:t>40</w:t>
            </w:r>
          </w:p>
        </w:tc>
      </w:tr>
      <w:tr w:rsidR="00FF6125" w:rsidRPr="00DD2CF4" w14:paraId="730BCC38" w14:textId="77777777" w:rsidTr="00FF6125">
        <w:trPr>
          <w:trHeight w:val="243"/>
        </w:trPr>
        <w:tc>
          <w:tcPr>
            <w:tcW w:w="2176" w:type="dxa"/>
            <w:noWrap/>
          </w:tcPr>
          <w:p w14:paraId="3A044AA2" w14:textId="77777777" w:rsidR="00FF6125" w:rsidRPr="006A6886" w:rsidRDefault="00FF6125" w:rsidP="00FF6125">
            <w:pPr>
              <w:suppressAutoHyphens/>
              <w:spacing w:before="60" w:after="60" w:line="240" w:lineRule="auto"/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</w:pPr>
            <w:r w:rsidRPr="006A6886"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  <w:t>Wood-inhabiting fungi</w:t>
            </w:r>
          </w:p>
        </w:tc>
        <w:tc>
          <w:tcPr>
            <w:tcW w:w="2639" w:type="dxa"/>
            <w:noWrap/>
          </w:tcPr>
          <w:p w14:paraId="51AFFB92" w14:textId="77777777" w:rsidR="00FF6125" w:rsidRPr="006A6886" w:rsidRDefault="00FF6125" w:rsidP="00FF6125">
            <w:pPr>
              <w:suppressAutoHyphens/>
              <w:spacing w:before="60" w:after="60" w:line="240" w:lineRule="auto"/>
              <w:jc w:val="center"/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</w:pPr>
            <w:r w:rsidRPr="006A6886"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  <w:t>112</w:t>
            </w:r>
          </w:p>
        </w:tc>
        <w:tc>
          <w:tcPr>
            <w:tcW w:w="992" w:type="dxa"/>
            <w:noWrap/>
          </w:tcPr>
          <w:p w14:paraId="6752FE42" w14:textId="77777777" w:rsidR="00FF6125" w:rsidRPr="006A6886" w:rsidRDefault="00FF6125" w:rsidP="00FF6125">
            <w:pPr>
              <w:suppressAutoHyphens/>
              <w:spacing w:before="60" w:after="60" w:line="240" w:lineRule="auto"/>
              <w:jc w:val="center"/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</w:pPr>
            <w:r w:rsidRPr="006A6886"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  <w:t>35</w:t>
            </w:r>
          </w:p>
        </w:tc>
        <w:tc>
          <w:tcPr>
            <w:tcW w:w="2693" w:type="dxa"/>
            <w:noWrap/>
          </w:tcPr>
          <w:p w14:paraId="75F10B3B" w14:textId="77777777" w:rsidR="00FF6125" w:rsidRPr="006A6886" w:rsidRDefault="00FF6125" w:rsidP="00FF6125">
            <w:pPr>
              <w:suppressAutoHyphens/>
              <w:spacing w:before="60" w:after="60" w:line="240" w:lineRule="auto"/>
              <w:jc w:val="center"/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</w:pPr>
            <w:r w:rsidRPr="006A6886"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  <w:t>3</w:t>
            </w:r>
          </w:p>
        </w:tc>
        <w:tc>
          <w:tcPr>
            <w:tcW w:w="993" w:type="dxa"/>
            <w:noWrap/>
          </w:tcPr>
          <w:p w14:paraId="3B48CDCC" w14:textId="77777777" w:rsidR="00FF6125" w:rsidRPr="006A6886" w:rsidRDefault="00FF6125" w:rsidP="00FF6125">
            <w:pPr>
              <w:suppressAutoHyphens/>
              <w:spacing w:before="60" w:after="60" w:line="240" w:lineRule="auto"/>
              <w:jc w:val="center"/>
              <w:rPr>
                <w:rFonts w:ascii="HelveticaNeueLT Pro 55 Roman" w:eastAsia="Times New Roman" w:hAnsi="HelveticaNeueLT Pro 55 Roman" w:cs="Times New Roman"/>
                <w:sz w:val="18"/>
                <w:szCs w:val="18"/>
                <w:lang w:eastAsia="sv-SE"/>
              </w:rPr>
            </w:pPr>
            <w:r w:rsidRPr="006A6886">
              <w:rPr>
                <w:rFonts w:ascii="HelveticaNeueLT Pro 55 Roman" w:eastAsia="Times New Roman" w:hAnsi="HelveticaNeueLT Pro 55 Roman" w:cs="Times New Roman"/>
                <w:color w:val="000000"/>
                <w:sz w:val="18"/>
                <w:szCs w:val="18"/>
                <w:lang w:eastAsia="sv-SE"/>
              </w:rPr>
              <w:t>25</w:t>
            </w:r>
          </w:p>
        </w:tc>
      </w:tr>
    </w:tbl>
    <w:p w14:paraId="207A3C78" w14:textId="6D9C8C6D" w:rsidR="000F03AD" w:rsidRDefault="000F03AD" w:rsidP="00392AEE">
      <w:pPr>
        <w:spacing w:after="160" w:line="360" w:lineRule="auto"/>
        <w:rPr>
          <w:rFonts w:ascii="HelveticaNeueLT Pro 55 Roman" w:hAnsi="HelveticaNeueLT Pro 55 Roman"/>
          <w:sz w:val="18"/>
          <w:szCs w:val="18"/>
        </w:rPr>
      </w:pPr>
    </w:p>
    <w:p w14:paraId="6E953844" w14:textId="39D13A19" w:rsidR="00FF6125" w:rsidRPr="006D49DA" w:rsidRDefault="00A45216" w:rsidP="00392AEE">
      <w:pPr>
        <w:spacing w:after="160" w:line="360" w:lineRule="auto"/>
        <w:rPr>
          <w:rFonts w:ascii="HelveticaNeueLT Pro 55 Roman" w:hAnsi="HelveticaNeueLT Pro 55 Roman"/>
          <w:sz w:val="18"/>
          <w:szCs w:val="18"/>
        </w:rPr>
      </w:pPr>
      <w:r>
        <w:rPr>
          <w:rFonts w:ascii="HelveticaNeueLT Pro 55 Roman" w:hAnsi="HelveticaNeueLT Pro 55 Roman"/>
          <w:sz w:val="18"/>
          <w:szCs w:val="18"/>
        </w:rPr>
        <w:t>The fail-safe number refers to the number of missing studies with an average effect size of zero that have to be added to make the combined effect size insignificant (with a target significance level of 0.05). A threshold value (5n+10) smaller than the fail-safe number indicates a robust result.</w:t>
      </w:r>
      <w:r>
        <w:rPr>
          <w:rFonts w:ascii="HelveticaNeueLT Pro 55 Roman" w:hAnsi="HelveticaNeueLT Pro 55 Roman"/>
          <w:sz w:val="18"/>
          <w:szCs w:val="18"/>
        </w:rPr>
        <w:br/>
      </w:r>
    </w:p>
    <w:p w14:paraId="0E979AE6" w14:textId="3180CFB0" w:rsidR="00296D03" w:rsidRPr="00ED0AB4" w:rsidRDefault="00296D03" w:rsidP="00F24B98">
      <w:pPr>
        <w:suppressAutoHyphens/>
        <w:spacing w:after="0"/>
        <w:rPr>
          <w:b/>
          <w:sz w:val="20"/>
          <w:szCs w:val="20"/>
        </w:rPr>
      </w:pPr>
      <w:r w:rsidRPr="00ED0AB4">
        <w:rPr>
          <w:b/>
          <w:sz w:val="20"/>
          <w:szCs w:val="20"/>
        </w:rPr>
        <w:t>References:</w:t>
      </w:r>
    </w:p>
    <w:p w14:paraId="691E1EAD" w14:textId="77777777" w:rsidR="00296D03" w:rsidRDefault="00296D03" w:rsidP="00F24B98">
      <w:pPr>
        <w:suppressAutoHyphens/>
        <w:spacing w:after="0"/>
      </w:pPr>
    </w:p>
    <w:p w14:paraId="3D758FAB" w14:textId="77777777" w:rsidR="000F03AD" w:rsidRDefault="0053687C" w:rsidP="000F03AD">
      <w:pPr>
        <w:suppressAutoHyphens/>
        <w:spacing w:line="240" w:lineRule="auto"/>
        <w:rPr>
          <w:sz w:val="20"/>
          <w:szCs w:val="20"/>
          <w:lang w:val="en-US"/>
        </w:rPr>
      </w:pPr>
      <w:r w:rsidRPr="000F03AD">
        <w:rPr>
          <w:sz w:val="20"/>
          <w:szCs w:val="20"/>
          <w:lang w:val="en-US"/>
        </w:rPr>
        <w:t>Apigian</w:t>
      </w:r>
      <w:r w:rsidR="000F03AD" w:rsidRPr="000F03AD">
        <w:rPr>
          <w:sz w:val="20"/>
          <w:szCs w:val="20"/>
          <w:lang w:val="en-US"/>
        </w:rPr>
        <w:t>, K. O., Dahlsten, D. L., Stephens, S. L. (2006). Fire and fire surrogate treatment effects on leaf litter arthropods in a western Sierra Nevada mixed-conifer forest</w:t>
      </w:r>
      <w:r w:rsidR="000F03AD">
        <w:rPr>
          <w:sz w:val="20"/>
          <w:szCs w:val="20"/>
          <w:lang w:val="en-US"/>
        </w:rPr>
        <w:t>. Forest Ecology and Management, 221, 110-122.</w:t>
      </w:r>
    </w:p>
    <w:p w14:paraId="5ECCDA5B" w14:textId="63A5736F" w:rsidR="000F03AD" w:rsidRPr="000F03AD" w:rsidRDefault="000F03AD" w:rsidP="000F03AD">
      <w:pPr>
        <w:suppressAutoHyphens/>
        <w:spacing w:line="240" w:lineRule="auto"/>
        <w:rPr>
          <w:sz w:val="20"/>
          <w:szCs w:val="20"/>
          <w:lang w:val="en-US"/>
        </w:rPr>
      </w:pPr>
      <w:r w:rsidRPr="00E23CC2">
        <w:rPr>
          <w:rFonts w:cs="Arial"/>
          <w:bCs/>
          <w:noProof/>
          <w:sz w:val="20"/>
          <w:szCs w:val="20"/>
          <w:lang w:val="en-US"/>
        </w:rPr>
        <w:t xml:space="preserve">Eriksson, M., Lilja, S., Roininen, H. (2006). </w:t>
      </w:r>
      <w:r w:rsidRPr="003A6C36">
        <w:rPr>
          <w:rFonts w:cs="Arial"/>
          <w:bCs/>
          <w:noProof/>
          <w:sz w:val="20"/>
          <w:szCs w:val="20"/>
          <w:lang w:val="en-US"/>
        </w:rPr>
        <w:t>Dead wood creation and restoration burning: Implications for bark beetles and beetle induced tree deaths.</w:t>
      </w:r>
      <w:r>
        <w:rPr>
          <w:rFonts w:cs="Arial"/>
          <w:bCs/>
          <w:noProof/>
          <w:sz w:val="20"/>
          <w:szCs w:val="20"/>
          <w:lang w:val="en-US"/>
        </w:rPr>
        <w:t xml:space="preserve"> Forest ecology and management, 231, 205-213.</w:t>
      </w:r>
      <w:r w:rsidRPr="003A6C36">
        <w:rPr>
          <w:rFonts w:cs="Arial"/>
          <w:bCs/>
          <w:noProof/>
          <w:sz w:val="20"/>
          <w:szCs w:val="20"/>
          <w:lang w:val="en-US"/>
        </w:rPr>
        <w:t xml:space="preserve"> </w:t>
      </w:r>
    </w:p>
    <w:p w14:paraId="13116A16" w14:textId="77777777" w:rsidR="000F03AD" w:rsidRPr="00150A19" w:rsidRDefault="000F03AD" w:rsidP="000F03AD">
      <w:pPr>
        <w:pStyle w:val="Dokumentrubrik"/>
        <w:suppressAutoHyphens/>
        <w:spacing w:line="240" w:lineRule="auto"/>
        <w:rPr>
          <w:rFonts w:ascii="Georgia" w:hAnsi="Georgia" w:cs="Arial"/>
          <w:b w:val="0"/>
          <w:bCs/>
          <w:noProof/>
          <w:sz w:val="20"/>
          <w:szCs w:val="20"/>
        </w:rPr>
      </w:pPr>
      <w:r w:rsidRPr="000F03AD">
        <w:rPr>
          <w:rFonts w:ascii="Georgia" w:hAnsi="Georgia" w:cs="Arial"/>
          <w:b w:val="0"/>
          <w:bCs/>
          <w:noProof/>
          <w:sz w:val="20"/>
          <w:szCs w:val="20"/>
        </w:rPr>
        <w:t xml:space="preserve">Heikkala, O., Martikainen, P., Kouki, J. (2016a). </w:t>
      </w:r>
      <w:r w:rsidRPr="00150A19">
        <w:rPr>
          <w:rFonts w:ascii="Georgia" w:hAnsi="Georgia" w:cs="Arial"/>
          <w:b w:val="0"/>
          <w:bCs/>
          <w:noProof/>
          <w:sz w:val="20"/>
          <w:szCs w:val="20"/>
        </w:rPr>
        <w:t xml:space="preserve">Decadal effects of emulating natural disturbances in forest management on saproxylic beetle assemblages. </w:t>
      </w:r>
      <w:r>
        <w:rPr>
          <w:rFonts w:ascii="Georgia" w:hAnsi="Georgia" w:cs="Arial"/>
          <w:b w:val="0"/>
          <w:bCs/>
          <w:noProof/>
          <w:sz w:val="20"/>
          <w:szCs w:val="20"/>
        </w:rPr>
        <w:t>Biological Conservation, 194, 39-47.</w:t>
      </w:r>
    </w:p>
    <w:p w14:paraId="1E1F9ADF" w14:textId="77777777" w:rsidR="000F03AD" w:rsidRPr="00150A19" w:rsidRDefault="000F03AD" w:rsidP="000F03AD">
      <w:pPr>
        <w:pStyle w:val="Dokumentrubrik"/>
        <w:suppressAutoHyphens/>
        <w:spacing w:line="240" w:lineRule="auto"/>
        <w:rPr>
          <w:rFonts w:ascii="Georgia" w:hAnsi="Georgia" w:cs="Arial"/>
          <w:b w:val="0"/>
          <w:bCs/>
          <w:noProof/>
          <w:sz w:val="20"/>
          <w:szCs w:val="20"/>
        </w:rPr>
      </w:pPr>
      <w:r w:rsidRPr="000F03AD">
        <w:rPr>
          <w:rFonts w:ascii="Georgia" w:hAnsi="Georgia" w:cs="Arial"/>
          <w:b w:val="0"/>
          <w:bCs/>
          <w:noProof/>
          <w:sz w:val="20"/>
          <w:szCs w:val="20"/>
        </w:rPr>
        <w:t xml:space="preserve">Heikkala, O., Martikainen, P., Kouki, J. (2016b). </w:t>
      </w:r>
      <w:r w:rsidRPr="00150A19">
        <w:rPr>
          <w:rFonts w:ascii="Georgia" w:hAnsi="Georgia" w:cs="Arial"/>
          <w:b w:val="0"/>
          <w:bCs/>
          <w:noProof/>
          <w:sz w:val="20"/>
          <w:szCs w:val="20"/>
        </w:rPr>
        <w:t xml:space="preserve">Prescribed burning is an effective and quick method to conserve rare pyrophilous forest-dwelling flat </w:t>
      </w:r>
      <w:r>
        <w:rPr>
          <w:rFonts w:ascii="Georgia" w:hAnsi="Georgia" w:cs="Arial"/>
          <w:b w:val="0"/>
          <w:bCs/>
          <w:noProof/>
          <w:sz w:val="20"/>
          <w:szCs w:val="20"/>
        </w:rPr>
        <w:t>bugs. Insect Conservation and Diversity, 10, 32-41.</w:t>
      </w:r>
      <w:r w:rsidRPr="00150A19">
        <w:rPr>
          <w:rFonts w:ascii="Georgia" w:hAnsi="Georgia" w:cs="Arial"/>
          <w:b w:val="0"/>
          <w:bCs/>
          <w:noProof/>
          <w:sz w:val="20"/>
          <w:szCs w:val="20"/>
        </w:rPr>
        <w:t xml:space="preserve"> </w:t>
      </w:r>
    </w:p>
    <w:p w14:paraId="653BD12E" w14:textId="77777777" w:rsidR="000F03AD" w:rsidRDefault="000F03AD" w:rsidP="000F03AD">
      <w:pPr>
        <w:pStyle w:val="Dokumentrubrik"/>
        <w:suppressAutoHyphens/>
        <w:spacing w:line="240" w:lineRule="auto"/>
        <w:rPr>
          <w:rFonts w:cs="Arial"/>
          <w:bCs/>
          <w:noProof/>
          <w:sz w:val="20"/>
          <w:szCs w:val="20"/>
        </w:rPr>
      </w:pPr>
      <w:r w:rsidRPr="000F03AD">
        <w:rPr>
          <w:rFonts w:ascii="Georgia" w:hAnsi="Georgia" w:cs="Arial"/>
          <w:b w:val="0"/>
          <w:bCs/>
          <w:noProof/>
          <w:sz w:val="20"/>
          <w:szCs w:val="20"/>
        </w:rPr>
        <w:t xml:space="preserve">Hyvärinen, E., Kouki, J., Martikainen, P., Lappalainen, H. (2005). </w:t>
      </w:r>
      <w:r w:rsidRPr="00150A19">
        <w:rPr>
          <w:rFonts w:ascii="Georgia" w:hAnsi="Georgia" w:cs="Arial"/>
          <w:b w:val="0"/>
          <w:bCs/>
          <w:noProof/>
          <w:sz w:val="20"/>
          <w:szCs w:val="20"/>
          <w:lang w:val="en-GB"/>
        </w:rPr>
        <w:t>Short-term effects of controlled burning and green-tree retention on beetle (Coleoptera) assemblages in managed boreal forests</w:t>
      </w:r>
      <w:r>
        <w:rPr>
          <w:rFonts w:ascii="Georgia" w:hAnsi="Georgia" w:cs="Arial"/>
          <w:b w:val="0"/>
          <w:bCs/>
          <w:noProof/>
          <w:sz w:val="20"/>
          <w:szCs w:val="20"/>
          <w:lang w:val="en-GB"/>
        </w:rPr>
        <w:t>. Forest Ecology and Management, 212, 315-332.</w:t>
      </w:r>
    </w:p>
    <w:p w14:paraId="42D4BE5B" w14:textId="77777777" w:rsidR="000F03AD" w:rsidRDefault="000F03AD" w:rsidP="000F03AD">
      <w:pPr>
        <w:pStyle w:val="Dokumentrubrik"/>
        <w:suppressAutoHyphens/>
        <w:spacing w:line="240" w:lineRule="auto"/>
        <w:rPr>
          <w:rFonts w:ascii="Georgia" w:hAnsi="Georgia" w:cs="Arial"/>
          <w:b w:val="0"/>
          <w:bCs/>
          <w:noProof/>
          <w:sz w:val="20"/>
          <w:szCs w:val="20"/>
        </w:rPr>
      </w:pPr>
      <w:r w:rsidRPr="000F03AD">
        <w:rPr>
          <w:rFonts w:ascii="Georgia" w:hAnsi="Georgia" w:cs="Arial"/>
          <w:b w:val="0"/>
          <w:bCs/>
          <w:noProof/>
          <w:sz w:val="20"/>
          <w:szCs w:val="20"/>
        </w:rPr>
        <w:t xml:space="preserve">Hyvärinen, E., Kouki, J., Martikainen, P. (2006). </w:t>
      </w:r>
      <w:r w:rsidRPr="00150A19">
        <w:rPr>
          <w:rFonts w:ascii="Georgia" w:hAnsi="Georgia" w:cs="Arial"/>
          <w:b w:val="0"/>
          <w:bCs/>
          <w:noProof/>
          <w:sz w:val="20"/>
          <w:szCs w:val="20"/>
        </w:rPr>
        <w:t>Fire and green-tree retention in conservation of red-listed and rare deadwood-</w:t>
      </w:r>
      <w:r>
        <w:rPr>
          <w:rFonts w:ascii="Georgia" w:hAnsi="Georgia" w:cs="Arial"/>
          <w:b w:val="0"/>
          <w:bCs/>
          <w:noProof/>
          <w:sz w:val="20"/>
          <w:szCs w:val="20"/>
        </w:rPr>
        <w:t>dependent beetles in finnish boreal forests. Conservation Biology, 20, 1711-1719.</w:t>
      </w:r>
    </w:p>
    <w:p w14:paraId="7697916E" w14:textId="77777777" w:rsidR="000F03AD" w:rsidRPr="002C4773" w:rsidRDefault="000F03AD" w:rsidP="000F03AD">
      <w:pPr>
        <w:pStyle w:val="Dokumentrubrik"/>
        <w:suppressAutoHyphens/>
        <w:spacing w:line="240" w:lineRule="auto"/>
        <w:rPr>
          <w:rFonts w:ascii="Georgia" w:hAnsi="Georgia" w:cs="Arial"/>
          <w:b w:val="0"/>
          <w:bCs/>
          <w:noProof/>
          <w:sz w:val="20"/>
          <w:szCs w:val="20"/>
        </w:rPr>
      </w:pPr>
      <w:r w:rsidRPr="002C4773">
        <w:rPr>
          <w:rFonts w:ascii="Georgia" w:hAnsi="Georgia" w:cs="Arial"/>
          <w:b w:val="0"/>
          <w:bCs/>
          <w:noProof/>
          <w:sz w:val="20"/>
          <w:szCs w:val="20"/>
        </w:rPr>
        <w:t>Hyvärinen, E., Kouki, J., Martikainen, P. (2009). Prescribed fires and retention trees help to conserve beetle diversity in managed</w:t>
      </w:r>
      <w:r>
        <w:rPr>
          <w:rFonts w:ascii="Georgia" w:hAnsi="Georgia" w:cs="Arial"/>
          <w:b w:val="0"/>
          <w:bCs/>
          <w:noProof/>
          <w:sz w:val="20"/>
          <w:szCs w:val="20"/>
        </w:rPr>
        <w:t xml:space="preserve"> boreal forests despite their transient negative effects on some beetle groups. Insect Conservation &amp; Diversity, 2, 93-105.</w:t>
      </w:r>
    </w:p>
    <w:p w14:paraId="07646041" w14:textId="77777777" w:rsidR="000F03AD" w:rsidRPr="009F4A2E" w:rsidRDefault="000F03AD" w:rsidP="000F03AD">
      <w:pPr>
        <w:pStyle w:val="Dokumentrubrik"/>
        <w:suppressAutoHyphens/>
        <w:spacing w:line="240" w:lineRule="auto"/>
        <w:rPr>
          <w:rFonts w:ascii="Georgia" w:hAnsi="Georgia" w:cs="Arial"/>
          <w:b w:val="0"/>
          <w:bCs/>
          <w:noProof/>
          <w:sz w:val="20"/>
          <w:szCs w:val="20"/>
        </w:rPr>
      </w:pPr>
      <w:r w:rsidRPr="000F03AD">
        <w:rPr>
          <w:rFonts w:ascii="Georgia" w:hAnsi="Georgia" w:cs="Arial"/>
          <w:b w:val="0"/>
          <w:bCs/>
          <w:noProof/>
          <w:sz w:val="20"/>
          <w:szCs w:val="20"/>
        </w:rPr>
        <w:t xml:space="preserve">Junninen, K., Kouki, J., Renvall, P. (2008). </w:t>
      </w:r>
      <w:r w:rsidRPr="009F4A2E">
        <w:rPr>
          <w:rFonts w:ascii="Georgia" w:hAnsi="Georgia" w:cs="Arial"/>
          <w:b w:val="0"/>
          <w:bCs/>
          <w:noProof/>
          <w:sz w:val="20"/>
          <w:szCs w:val="20"/>
        </w:rPr>
        <w:t>Restoration of natural legacies of fire in European boreal forests: an experimental approach to the effects on wood-decaying fungi</w:t>
      </w:r>
      <w:r>
        <w:rPr>
          <w:rFonts w:ascii="Georgia" w:hAnsi="Georgia" w:cs="Arial"/>
          <w:b w:val="0"/>
          <w:bCs/>
          <w:noProof/>
          <w:sz w:val="20"/>
          <w:szCs w:val="20"/>
        </w:rPr>
        <w:t>. Canadian Journal of Forest Research, 38, 202-215.</w:t>
      </w:r>
    </w:p>
    <w:p w14:paraId="4D53EC0E" w14:textId="77777777" w:rsidR="000F03AD" w:rsidRPr="003C73C2" w:rsidRDefault="000F03AD" w:rsidP="000F03AD">
      <w:pPr>
        <w:pStyle w:val="Dokumentrubrik"/>
        <w:suppressAutoHyphens/>
        <w:spacing w:line="240" w:lineRule="auto"/>
        <w:rPr>
          <w:rFonts w:ascii="Georgia" w:hAnsi="Georgia" w:cs="Arial"/>
          <w:b w:val="0"/>
          <w:bCs/>
          <w:noProof/>
          <w:sz w:val="20"/>
          <w:szCs w:val="20"/>
        </w:rPr>
      </w:pPr>
      <w:r w:rsidRPr="000F03AD">
        <w:rPr>
          <w:rFonts w:ascii="Georgia" w:hAnsi="Georgia" w:cs="Arial"/>
          <w:b w:val="0"/>
          <w:bCs/>
          <w:noProof/>
          <w:sz w:val="20"/>
          <w:szCs w:val="20"/>
        </w:rPr>
        <w:t xml:space="preserve">Martikainen, P., Kouki, J., Heikkala, O., Hyvärinen, E., Lappalainen, H. (2006). </w:t>
      </w:r>
      <w:r w:rsidRPr="003C73C2">
        <w:rPr>
          <w:rFonts w:ascii="Georgia" w:hAnsi="Georgia" w:cs="Arial"/>
          <w:b w:val="0"/>
          <w:bCs/>
          <w:noProof/>
          <w:sz w:val="20"/>
          <w:szCs w:val="20"/>
        </w:rPr>
        <w:t>Effects of green tree retention and prescribed burning on the crown damage caused by the pine shoot beetles (Tomicus spp.) in pine-dominated timber harvest areas</w:t>
      </w:r>
      <w:r>
        <w:rPr>
          <w:rFonts w:ascii="Georgia" w:hAnsi="Georgia" w:cs="Arial"/>
          <w:b w:val="0"/>
          <w:bCs/>
          <w:noProof/>
          <w:sz w:val="20"/>
          <w:szCs w:val="20"/>
        </w:rPr>
        <w:t>. Journal of Applied Entomology, 130, 37-44.</w:t>
      </w:r>
    </w:p>
    <w:p w14:paraId="6A314EAB" w14:textId="77777777" w:rsidR="000F03AD" w:rsidRPr="00BC4423" w:rsidRDefault="000F03AD" w:rsidP="000F03AD">
      <w:pPr>
        <w:spacing w:line="240" w:lineRule="auto"/>
        <w:rPr>
          <w:rFonts w:cs="Georgia"/>
          <w:sz w:val="20"/>
          <w:szCs w:val="20"/>
          <w:lang w:val="en-US"/>
        </w:rPr>
      </w:pPr>
      <w:r w:rsidRPr="000F03AD">
        <w:rPr>
          <w:rFonts w:cs="Georgia"/>
          <w:sz w:val="20"/>
          <w:szCs w:val="20"/>
          <w:lang w:val="en-US"/>
        </w:rPr>
        <w:t xml:space="preserve">Penttilä, R., Junninen, K., Punttila, P., Siitonen, J. (2013). </w:t>
      </w:r>
      <w:r w:rsidRPr="00BC4423">
        <w:rPr>
          <w:rFonts w:cs="Georgia"/>
          <w:sz w:val="20"/>
          <w:szCs w:val="20"/>
          <w:lang w:val="en-US"/>
        </w:rPr>
        <w:t>Effects of forest restoration by fire on polypores depend strongly on time since disturbance - A case study from Finland based on a 23-year monitoring period</w:t>
      </w:r>
      <w:r>
        <w:rPr>
          <w:rFonts w:cs="Georgia"/>
          <w:sz w:val="20"/>
          <w:szCs w:val="20"/>
          <w:lang w:val="en-US"/>
        </w:rPr>
        <w:t>. Forest Ecology and Management, 310, 508-516.</w:t>
      </w:r>
    </w:p>
    <w:p w14:paraId="2C224BDA" w14:textId="77777777" w:rsidR="000F03AD" w:rsidRPr="005972FC" w:rsidRDefault="000F03AD" w:rsidP="000F03AD">
      <w:pPr>
        <w:spacing w:line="240" w:lineRule="auto"/>
        <w:rPr>
          <w:rFonts w:cs="Georgia"/>
          <w:sz w:val="20"/>
          <w:szCs w:val="20"/>
          <w:lang w:val="en-US"/>
        </w:rPr>
      </w:pPr>
      <w:r w:rsidRPr="000F03AD">
        <w:rPr>
          <w:rFonts w:cs="Georgia"/>
          <w:sz w:val="20"/>
          <w:szCs w:val="20"/>
          <w:lang w:val="en-US"/>
        </w:rPr>
        <w:t xml:space="preserve">Pitkänen, A., Kouki, J., Viiri, H., Martikainen, P. (2008). </w:t>
      </w:r>
      <w:r w:rsidRPr="005972FC">
        <w:rPr>
          <w:rFonts w:cs="Georgia"/>
          <w:sz w:val="20"/>
          <w:szCs w:val="20"/>
          <w:lang w:val="en-US"/>
        </w:rPr>
        <w:t>Effects of controlled forest burning and intensity of timber harvesting on the occurrence of pine weevils, Hylobius spp., in regeneration areas</w:t>
      </w:r>
      <w:r>
        <w:rPr>
          <w:rFonts w:cs="Georgia"/>
          <w:sz w:val="20"/>
          <w:szCs w:val="20"/>
          <w:lang w:val="en-US"/>
        </w:rPr>
        <w:t>. Forest Ecology and Management, 255, 522-529.</w:t>
      </w:r>
    </w:p>
    <w:p w14:paraId="1B227C14" w14:textId="72EFBEE1" w:rsidR="000F03AD" w:rsidRDefault="000F03AD" w:rsidP="000F03AD">
      <w:pPr>
        <w:spacing w:line="240" w:lineRule="auto"/>
        <w:rPr>
          <w:rFonts w:cs="Georgia"/>
          <w:sz w:val="20"/>
          <w:szCs w:val="20"/>
          <w:lang w:val="en-US"/>
        </w:rPr>
      </w:pPr>
      <w:r>
        <w:rPr>
          <w:rFonts w:cs="Georgia"/>
          <w:sz w:val="20"/>
          <w:szCs w:val="20"/>
          <w:lang w:val="en-US"/>
        </w:rPr>
        <w:t>Rosenthal</w:t>
      </w:r>
      <w:r w:rsidR="00A62D72">
        <w:rPr>
          <w:rFonts w:cs="Georgia"/>
          <w:sz w:val="20"/>
          <w:szCs w:val="20"/>
          <w:lang w:val="en-US"/>
        </w:rPr>
        <w:t>, R. (1979). The file drawer problem and tolerance for null results. Psychological Bulletin, 8 (2), 157-159.</w:t>
      </w:r>
    </w:p>
    <w:p w14:paraId="4BF40422" w14:textId="3C942A2B" w:rsidR="000F03AD" w:rsidRDefault="000F03AD" w:rsidP="000F03AD">
      <w:pPr>
        <w:spacing w:line="240" w:lineRule="auto"/>
        <w:rPr>
          <w:rFonts w:cs="Georgia"/>
          <w:sz w:val="20"/>
          <w:szCs w:val="20"/>
          <w:lang w:val="en-US"/>
        </w:rPr>
      </w:pPr>
      <w:r w:rsidRPr="000F03AD">
        <w:rPr>
          <w:rFonts w:cs="Georgia"/>
          <w:sz w:val="20"/>
          <w:szCs w:val="20"/>
          <w:lang w:val="en-US"/>
        </w:rPr>
        <w:t xml:space="preserve">Toivanen, T. &amp; Kotiaho, J. S. (2007). </w:t>
      </w:r>
      <w:r w:rsidRPr="000C1901">
        <w:rPr>
          <w:rFonts w:cs="Georgia"/>
          <w:sz w:val="20"/>
          <w:szCs w:val="20"/>
          <w:lang w:val="en-US"/>
        </w:rPr>
        <w:t>Mimicking natural disturbances of boreal forests: The effects of controlled burning and creating dead wood on beetle diversity</w:t>
      </w:r>
      <w:r>
        <w:rPr>
          <w:rFonts w:cs="Georgia"/>
          <w:sz w:val="20"/>
          <w:szCs w:val="20"/>
          <w:lang w:val="en-US"/>
        </w:rPr>
        <w:t>. Biodiversity and conservation, 16, 3193-3211.</w:t>
      </w:r>
    </w:p>
    <w:p w14:paraId="6B4F587A" w14:textId="77777777" w:rsidR="000F03AD" w:rsidRDefault="000F03AD" w:rsidP="000F03AD">
      <w:pPr>
        <w:spacing w:line="240" w:lineRule="auto"/>
        <w:rPr>
          <w:rFonts w:cs="Georgia"/>
          <w:sz w:val="20"/>
          <w:szCs w:val="20"/>
          <w:lang w:val="en-US"/>
        </w:rPr>
      </w:pPr>
      <w:r w:rsidRPr="000F03AD">
        <w:rPr>
          <w:rFonts w:cs="Georgia"/>
          <w:sz w:val="20"/>
          <w:szCs w:val="20"/>
          <w:lang w:val="en-US"/>
        </w:rPr>
        <w:t xml:space="preserve">Toivanen, T., Liikanen, V., Kotiaho, J. S. (2009). </w:t>
      </w:r>
      <w:r w:rsidRPr="00902CE7">
        <w:rPr>
          <w:rFonts w:cs="Georgia"/>
          <w:sz w:val="20"/>
          <w:szCs w:val="20"/>
          <w:lang w:val="en-US"/>
        </w:rPr>
        <w:t>Effects of forest restoration treatments on the abundance of bark beetles in Norway spruce forests of southern Finland</w:t>
      </w:r>
      <w:r>
        <w:rPr>
          <w:rFonts w:cs="Georgia"/>
          <w:sz w:val="20"/>
          <w:szCs w:val="20"/>
          <w:lang w:val="en-US"/>
        </w:rPr>
        <w:t>. Forest Ecology and Management, 257, 117-125.</w:t>
      </w:r>
    </w:p>
    <w:p w14:paraId="5E022F23" w14:textId="77777777" w:rsidR="000F03AD" w:rsidRDefault="000F03AD" w:rsidP="000F03AD">
      <w:pPr>
        <w:spacing w:line="240" w:lineRule="auto"/>
        <w:rPr>
          <w:rFonts w:cs="Georgia"/>
          <w:sz w:val="20"/>
          <w:szCs w:val="20"/>
          <w:lang w:val="en-US"/>
        </w:rPr>
      </w:pPr>
      <w:r w:rsidRPr="000F03AD">
        <w:rPr>
          <w:rFonts w:cs="Georgia"/>
          <w:sz w:val="20"/>
          <w:szCs w:val="20"/>
          <w:lang w:val="en-US"/>
        </w:rPr>
        <w:t xml:space="preserve">Toivanen, T. &amp; Kotiaho, J. S. (2010). </w:t>
      </w:r>
      <w:r w:rsidRPr="00902CE7">
        <w:rPr>
          <w:rFonts w:cs="Georgia"/>
          <w:sz w:val="20"/>
          <w:szCs w:val="20"/>
          <w:lang w:val="en-US"/>
        </w:rPr>
        <w:t>The preferences of saproxylic beetle species for different dead wood types created in forest restoration treatments</w:t>
      </w:r>
      <w:r>
        <w:rPr>
          <w:rFonts w:cs="Georgia"/>
          <w:sz w:val="20"/>
          <w:szCs w:val="20"/>
          <w:lang w:val="en-US"/>
        </w:rPr>
        <w:t>. Canadian Journal of forest Research, 40, 445-464.</w:t>
      </w:r>
    </w:p>
    <w:p w14:paraId="32BA851E" w14:textId="22B1B74D" w:rsidR="000F03AD" w:rsidRPr="000F03AD" w:rsidRDefault="000F03AD" w:rsidP="000F03AD">
      <w:pPr>
        <w:spacing w:line="240" w:lineRule="auto"/>
        <w:rPr>
          <w:rFonts w:cs="Georgia"/>
          <w:sz w:val="20"/>
          <w:szCs w:val="20"/>
          <w:lang w:val="en-US"/>
        </w:rPr>
      </w:pPr>
      <w:r w:rsidRPr="000F03AD">
        <w:rPr>
          <w:rFonts w:cs="Georgia"/>
          <w:sz w:val="20"/>
          <w:szCs w:val="20"/>
          <w:lang w:val="en-US"/>
        </w:rPr>
        <w:t xml:space="preserve">Toivanen, T., Heikkilä, T., Koivula, M. J. (2014). </w:t>
      </w:r>
      <w:r w:rsidRPr="00902CE7">
        <w:rPr>
          <w:rFonts w:cs="Georgia"/>
          <w:sz w:val="20"/>
          <w:szCs w:val="20"/>
          <w:lang w:val="en-US"/>
        </w:rPr>
        <w:t>Emulating natural disturbances in boreal Norway spruce forests: Effects on ground beetles (Coleoptera, Carabidae)</w:t>
      </w:r>
      <w:r>
        <w:rPr>
          <w:rFonts w:cs="Georgia"/>
          <w:sz w:val="20"/>
          <w:szCs w:val="20"/>
          <w:lang w:val="en-US"/>
        </w:rPr>
        <w:t>. Forest Ecology and Management, 314, 64-74.</w:t>
      </w:r>
    </w:p>
    <w:p w14:paraId="37125B6D" w14:textId="19FE52E5" w:rsidR="006A6886" w:rsidRPr="000F03AD" w:rsidRDefault="000F03AD" w:rsidP="000F03AD">
      <w:pPr>
        <w:spacing w:line="240" w:lineRule="auto"/>
        <w:rPr>
          <w:rFonts w:cs="Georgia"/>
          <w:sz w:val="20"/>
          <w:szCs w:val="20"/>
        </w:rPr>
      </w:pPr>
      <w:r w:rsidRPr="00E23CC2">
        <w:rPr>
          <w:rFonts w:cs="Georgia"/>
          <w:sz w:val="20"/>
          <w:szCs w:val="20"/>
          <w:lang w:val="en-US"/>
        </w:rPr>
        <w:t xml:space="preserve">Zwetsloot, P.-P., Van Der Naald, M., Sena, E., Howells, D., IntHout, J., De Groot, J., ... </w:t>
      </w:r>
      <w:r w:rsidRPr="00EA27B3">
        <w:rPr>
          <w:rFonts w:cs="Georgia"/>
          <w:sz w:val="20"/>
          <w:szCs w:val="20"/>
          <w:lang w:val="en-US"/>
        </w:rPr>
        <w:t xml:space="preserve">Wever, K. E. (2017). </w:t>
      </w:r>
      <w:r w:rsidRPr="00B27217">
        <w:rPr>
          <w:rFonts w:cs="Georgia"/>
          <w:sz w:val="20"/>
          <w:szCs w:val="20"/>
        </w:rPr>
        <w:t>Standardized mean differences cause funnel plot distortion in publication bias assessments. eLife</w:t>
      </w:r>
      <w:r>
        <w:rPr>
          <w:rFonts w:cs="Georgia"/>
          <w:sz w:val="20"/>
          <w:szCs w:val="20"/>
        </w:rPr>
        <w:t>,</w:t>
      </w:r>
      <w:r w:rsidRPr="00B27217">
        <w:rPr>
          <w:rFonts w:cs="Georgia"/>
          <w:sz w:val="20"/>
          <w:szCs w:val="20"/>
        </w:rPr>
        <w:t xml:space="preserve"> 6(e24260).</w:t>
      </w:r>
      <w:r>
        <w:rPr>
          <w:rFonts w:cs="Georgia"/>
          <w:sz w:val="20"/>
          <w:szCs w:val="20"/>
        </w:rPr>
        <w:t xml:space="preserve"> </w:t>
      </w:r>
      <w:r w:rsidRPr="00EA27B3">
        <w:rPr>
          <w:rFonts w:cs="Georgia"/>
          <w:sz w:val="20"/>
          <w:szCs w:val="20"/>
        </w:rPr>
        <w:t xml:space="preserve">doi:  </w:t>
      </w:r>
      <w:hyperlink r:id="rId9" w:tgtFrame="pmc_ext" w:history="1">
        <w:r w:rsidRPr="00EA27B3">
          <w:rPr>
            <w:rStyle w:val="Hyperlnk"/>
            <w:rFonts w:cs="Georgia"/>
            <w:sz w:val="20"/>
            <w:szCs w:val="20"/>
          </w:rPr>
          <w:t>10.7554/eLife.24260</w:t>
        </w:r>
      </w:hyperlink>
    </w:p>
    <w:sectPr w:rsidR="006A6886" w:rsidRPr="000F03AD">
      <w:footerReference w:type="default" r:id="rId10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CF03FD" w16cid:durableId="1E5BB5B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11EA33" w14:textId="77777777" w:rsidR="00250FA1" w:rsidRDefault="00250FA1" w:rsidP="00656C51">
      <w:pPr>
        <w:spacing w:after="0" w:line="240" w:lineRule="auto"/>
      </w:pPr>
      <w:r>
        <w:separator/>
      </w:r>
    </w:p>
  </w:endnote>
  <w:endnote w:type="continuationSeparator" w:id="0">
    <w:p w14:paraId="073F5F6F" w14:textId="77777777" w:rsidR="00250FA1" w:rsidRDefault="00250FA1" w:rsidP="00656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NeueLT Pro 55 Roman">
    <w:altName w:val="Arial"/>
    <w:panose1 w:val="020B0604020202020204"/>
    <w:charset w:val="00"/>
    <w:family w:val="swiss"/>
    <w:notTrueType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727625"/>
      <w:docPartObj>
        <w:docPartGallery w:val="Page Numbers (Bottom of Page)"/>
        <w:docPartUnique/>
      </w:docPartObj>
    </w:sdtPr>
    <w:sdtEndPr/>
    <w:sdtContent>
      <w:p w14:paraId="7A01FB6B" w14:textId="1F1C1218" w:rsidR="00656C51" w:rsidRDefault="00656C51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0FA1" w:rsidRPr="00250FA1">
          <w:rPr>
            <w:noProof/>
            <w:lang w:val="sv-SE"/>
          </w:rPr>
          <w:t>1</w:t>
        </w:r>
        <w:r>
          <w:fldChar w:fldCharType="end"/>
        </w:r>
      </w:p>
    </w:sdtContent>
  </w:sdt>
  <w:p w14:paraId="153E0ADA" w14:textId="77777777" w:rsidR="00656C51" w:rsidRDefault="00656C51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9E9FB0" w14:textId="77777777" w:rsidR="00250FA1" w:rsidRDefault="00250FA1" w:rsidP="00656C51">
      <w:pPr>
        <w:spacing w:after="0" w:line="240" w:lineRule="auto"/>
      </w:pPr>
      <w:r>
        <w:separator/>
      </w:r>
    </w:p>
  </w:footnote>
  <w:footnote w:type="continuationSeparator" w:id="0">
    <w:p w14:paraId="6786AA37" w14:textId="77777777" w:rsidR="00250FA1" w:rsidRDefault="00250FA1" w:rsidP="00656C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B98"/>
    <w:rsid w:val="00027430"/>
    <w:rsid w:val="00030E2C"/>
    <w:rsid w:val="000E51DC"/>
    <w:rsid w:val="000F03AD"/>
    <w:rsid w:val="0011158B"/>
    <w:rsid w:val="00170ED5"/>
    <w:rsid w:val="001B4F29"/>
    <w:rsid w:val="001C5ECB"/>
    <w:rsid w:val="001E613F"/>
    <w:rsid w:val="001E758D"/>
    <w:rsid w:val="00225E91"/>
    <w:rsid w:val="00250FA1"/>
    <w:rsid w:val="00296D03"/>
    <w:rsid w:val="002E0DFE"/>
    <w:rsid w:val="003708D9"/>
    <w:rsid w:val="00392AEE"/>
    <w:rsid w:val="003C712A"/>
    <w:rsid w:val="003F3518"/>
    <w:rsid w:val="003F727E"/>
    <w:rsid w:val="004176F5"/>
    <w:rsid w:val="00426BA7"/>
    <w:rsid w:val="00453979"/>
    <w:rsid w:val="00484CCB"/>
    <w:rsid w:val="004A2462"/>
    <w:rsid w:val="004B5E44"/>
    <w:rsid w:val="0053687C"/>
    <w:rsid w:val="005F5529"/>
    <w:rsid w:val="00606A6B"/>
    <w:rsid w:val="00623F90"/>
    <w:rsid w:val="00656C51"/>
    <w:rsid w:val="006A5583"/>
    <w:rsid w:val="006A6886"/>
    <w:rsid w:val="006B45F5"/>
    <w:rsid w:val="006D2912"/>
    <w:rsid w:val="006D49DA"/>
    <w:rsid w:val="006E604E"/>
    <w:rsid w:val="006F3A57"/>
    <w:rsid w:val="007144C5"/>
    <w:rsid w:val="00796E7A"/>
    <w:rsid w:val="007D4954"/>
    <w:rsid w:val="008020F7"/>
    <w:rsid w:val="0090787C"/>
    <w:rsid w:val="00955012"/>
    <w:rsid w:val="0099549F"/>
    <w:rsid w:val="009D28D5"/>
    <w:rsid w:val="00A117DD"/>
    <w:rsid w:val="00A21550"/>
    <w:rsid w:val="00A45216"/>
    <w:rsid w:val="00A53D7B"/>
    <w:rsid w:val="00A62D72"/>
    <w:rsid w:val="00A819DB"/>
    <w:rsid w:val="00AC35B9"/>
    <w:rsid w:val="00AD3675"/>
    <w:rsid w:val="00B26034"/>
    <w:rsid w:val="00BB3657"/>
    <w:rsid w:val="00C567A1"/>
    <w:rsid w:val="00C85B01"/>
    <w:rsid w:val="00CA0356"/>
    <w:rsid w:val="00D6495D"/>
    <w:rsid w:val="00DA4816"/>
    <w:rsid w:val="00DB0321"/>
    <w:rsid w:val="00DF6F83"/>
    <w:rsid w:val="00E23CC2"/>
    <w:rsid w:val="00E4499B"/>
    <w:rsid w:val="00ED0AB4"/>
    <w:rsid w:val="00F1528D"/>
    <w:rsid w:val="00F24B98"/>
    <w:rsid w:val="00F55ED9"/>
    <w:rsid w:val="00F8342F"/>
    <w:rsid w:val="00FD1BEF"/>
    <w:rsid w:val="00FE51AE"/>
    <w:rsid w:val="00FF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84979"/>
  <w15:chartTrackingRefBased/>
  <w15:docId w15:val="{851E4EBE-A8AB-44C5-B2E6-1D3AE75C9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B98"/>
    <w:pPr>
      <w:spacing w:after="120" w:line="300" w:lineRule="atLeast"/>
    </w:pPr>
    <w:rPr>
      <w:rFonts w:ascii="Georgia" w:hAnsi="Georgia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Kommentarsreferens">
    <w:name w:val="annotation reference"/>
    <w:basedOn w:val="Standardstycketeckensnitt"/>
    <w:uiPriority w:val="99"/>
    <w:semiHidden/>
    <w:unhideWhenUsed/>
    <w:rsid w:val="00F24B9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F24B98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F24B98"/>
    <w:rPr>
      <w:rFonts w:ascii="Georgia" w:hAnsi="Georgia"/>
      <w:sz w:val="20"/>
      <w:szCs w:val="20"/>
      <w:lang w:val="en-GB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24B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24B98"/>
    <w:rPr>
      <w:rFonts w:ascii="Segoe UI" w:hAnsi="Segoe UI" w:cs="Segoe UI"/>
      <w:sz w:val="18"/>
      <w:szCs w:val="18"/>
      <w:lang w:val="en-GB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B4F2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B4F29"/>
    <w:rPr>
      <w:rFonts w:ascii="Georgia" w:hAnsi="Georgia"/>
      <w:b/>
      <w:bCs/>
      <w:sz w:val="20"/>
      <w:szCs w:val="20"/>
      <w:lang w:val="en-GB"/>
    </w:rPr>
  </w:style>
  <w:style w:type="paragraph" w:styleId="Rubrik">
    <w:name w:val="Title"/>
    <w:basedOn w:val="Normal"/>
    <w:next w:val="Normal"/>
    <w:link w:val="RubrikChar"/>
    <w:uiPriority w:val="10"/>
    <w:qFormat/>
    <w:rsid w:val="006A6886"/>
    <w:pPr>
      <w:spacing w:after="200" w:line="276" w:lineRule="auto"/>
    </w:pPr>
    <w:rPr>
      <w:rFonts w:ascii="HelveticaNeueLT Pro 55 Roman" w:eastAsiaTheme="minorEastAsia" w:hAnsi="HelveticaNeueLT Pro 55 Roman"/>
      <w:b/>
      <w:sz w:val="28"/>
      <w:szCs w:val="28"/>
      <w:lang w:val="en-US" w:eastAsia="sv-SE"/>
    </w:rPr>
  </w:style>
  <w:style w:type="character" w:customStyle="1" w:styleId="RubrikChar">
    <w:name w:val="Rubrik Char"/>
    <w:basedOn w:val="Standardstycketeckensnitt"/>
    <w:link w:val="Rubrik"/>
    <w:uiPriority w:val="10"/>
    <w:rsid w:val="006A6886"/>
    <w:rPr>
      <w:rFonts w:ascii="HelveticaNeueLT Pro 55 Roman" w:eastAsiaTheme="minorEastAsia" w:hAnsi="HelveticaNeueLT Pro 55 Roman"/>
      <w:b/>
      <w:sz w:val="28"/>
      <w:szCs w:val="28"/>
      <w:lang w:eastAsia="sv-SE"/>
    </w:rPr>
  </w:style>
  <w:style w:type="character" w:styleId="Hyperlnk">
    <w:name w:val="Hyperlink"/>
    <w:basedOn w:val="Standardstycketeckensnitt"/>
    <w:uiPriority w:val="99"/>
    <w:unhideWhenUsed/>
    <w:rsid w:val="000F03AD"/>
    <w:rPr>
      <w:color w:val="0563C1" w:themeColor="hyperlink"/>
      <w:u w:val="single"/>
    </w:rPr>
  </w:style>
  <w:style w:type="paragraph" w:customStyle="1" w:styleId="Dokumentrubrik">
    <w:name w:val="Dokumentrubrik"/>
    <w:basedOn w:val="Normal"/>
    <w:uiPriority w:val="1"/>
    <w:qFormat/>
    <w:rsid w:val="000F03AD"/>
    <w:rPr>
      <w:rFonts w:asciiTheme="minorHAnsi" w:hAnsiTheme="minorHAnsi"/>
      <w:b/>
      <w:sz w:val="28"/>
      <w:lang w:val="en-US"/>
    </w:rPr>
  </w:style>
  <w:style w:type="table" w:styleId="Tabellrutnt">
    <w:name w:val="Table Grid"/>
    <w:basedOn w:val="Normaltabell"/>
    <w:uiPriority w:val="39"/>
    <w:rsid w:val="00656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656C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56C51"/>
    <w:rPr>
      <w:rFonts w:ascii="Georgia" w:hAnsi="Georgia"/>
      <w:lang w:val="en-GB"/>
    </w:rPr>
  </w:style>
  <w:style w:type="paragraph" w:styleId="Sidfot">
    <w:name w:val="footer"/>
    <w:basedOn w:val="Normal"/>
    <w:link w:val="SidfotChar"/>
    <w:uiPriority w:val="99"/>
    <w:unhideWhenUsed/>
    <w:rsid w:val="00656C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56C51"/>
    <w:rPr>
      <w:rFonts w:ascii="Georgia" w:hAnsi="Georgia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3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dx.doi.org/10.7554%2FeLife.24260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CD155-21D5-440C-9B30-9E715A2A5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1733</Words>
  <Characters>9880</Characters>
  <Application>Microsoft Office Word</Application>
  <DocSecurity>0</DocSecurity>
  <Lines>82</Lines>
  <Paragraphs>23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Bernes Claes</dc:creator>
  <cp:keywords/>
  <dc:description/>
  <cp:lastModifiedBy>Bernes Claes</cp:lastModifiedBy>
  <cp:revision>2</cp:revision>
  <dcterms:created xsi:type="dcterms:W3CDTF">2018-03-23T09:52:00Z</dcterms:created>
  <dcterms:modified xsi:type="dcterms:W3CDTF">2018-03-23T09:52:00Z</dcterms:modified>
</cp:coreProperties>
</file>